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Layout w:type="fixed"/>
        <w:tblCellMar>
          <w:top w:w="20" w:type="dxa"/>
          <w:left w:w="40" w:type="dxa"/>
          <w:bottom w:w="20" w:type="dxa"/>
          <w:right w:w="40" w:type="dxa"/>
        </w:tblCellMar>
        <w:tblLook w:val="0480" w:firstRow="0" w:lastRow="0" w:firstColumn="1" w:lastColumn="0" w:noHBand="0" w:noVBand="1"/>
      </w:tblPr>
      <w:tblGrid>
        <w:gridCol w:w="2160"/>
        <w:gridCol w:w="1440"/>
        <w:gridCol w:w="5040"/>
        <w:gridCol w:w="2880"/>
        <w:gridCol w:w="720"/>
        <w:gridCol w:w="1300"/>
        <w:gridCol w:w="860"/>
      </w:tblGrid>
      <w:tr w:rsidR="002879DE" w:rsidRPr="002879DE" w14:paraId="6B82DFA7" w14:textId="77777777" w:rsidTr="002879DE">
        <w:trPr>
          <w:cantSplit/>
        </w:trPr>
        <w:tc>
          <w:tcPr>
            <w:tcW w:w="2160" w:type="dxa"/>
          </w:tcPr>
          <w:p w14:paraId="101B745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Anticipated Indicator</w:t>
            </w:r>
          </w:p>
        </w:tc>
        <w:tc>
          <w:tcPr>
            <w:tcW w:w="1440" w:type="dxa"/>
          </w:tcPr>
          <w:p w14:paraId="084B4E8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Anticipated</w:t>
            </w:r>
          </w:p>
        </w:tc>
        <w:tc>
          <w:tcPr>
            <w:tcW w:w="5040" w:type="dxa"/>
          </w:tcPr>
          <w:p w14:paraId="4C11575B"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that the transaction is expected or anticipated to occur in the current fiscal year.</w:t>
            </w:r>
          </w:p>
        </w:tc>
        <w:tc>
          <w:tcPr>
            <w:tcW w:w="2880" w:type="dxa"/>
          </w:tcPr>
          <w:p w14:paraId="5051199F"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N - No,</w:t>
            </w:r>
          </w:p>
          <w:p w14:paraId="5250C140"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Y - Yes</w:t>
            </w:r>
          </w:p>
        </w:tc>
        <w:tc>
          <w:tcPr>
            <w:tcW w:w="720" w:type="dxa"/>
          </w:tcPr>
          <w:p w14:paraId="7F12A1F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08DB97C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USSGL</w:t>
            </w:r>
          </w:p>
        </w:tc>
        <w:tc>
          <w:tcPr>
            <w:tcW w:w="860" w:type="dxa"/>
          </w:tcPr>
          <w:p w14:paraId="6B59B50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USSGL</w:t>
            </w:r>
          </w:p>
        </w:tc>
      </w:tr>
      <w:tr w:rsidR="002879DE" w:rsidRPr="002879DE" w14:paraId="55C6E337" w14:textId="77777777" w:rsidTr="002879DE">
        <w:trPr>
          <w:cantSplit/>
        </w:trPr>
        <w:tc>
          <w:tcPr>
            <w:tcW w:w="2160" w:type="dxa"/>
          </w:tcPr>
          <w:p w14:paraId="16CAEB4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Apportionment Category B Program Code</w:t>
            </w:r>
          </w:p>
        </w:tc>
        <w:tc>
          <w:tcPr>
            <w:tcW w:w="1440" w:type="dxa"/>
          </w:tcPr>
          <w:p w14:paraId="01B1B68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Apport Cat B</w:t>
            </w:r>
          </w:p>
        </w:tc>
        <w:tc>
          <w:tcPr>
            <w:tcW w:w="5040" w:type="dxa"/>
          </w:tcPr>
          <w:p w14:paraId="19B40C72" w14:textId="2B083291"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The code representing the category A/B and B program used on the SF 132 apportionment schedule. Apportionment Category B Program Code is a </w:t>
            </w:r>
            <w:r w:rsidR="004C402F">
              <w:rPr>
                <w:rFonts w:ascii="TimesNewRoman" w:hAnsi="TimesNewRoman" w:cs="Courier New"/>
                <w:sz w:val="20"/>
              </w:rPr>
              <w:t>four-digit</w:t>
            </w:r>
            <w:r>
              <w:rPr>
                <w:rFonts w:ascii="TimesNewRoman" w:hAnsi="TimesNewRoman" w:cs="Courier New"/>
                <w:sz w:val="20"/>
              </w:rPr>
              <w:t xml:space="preserve"> number that represents a line on the apportionment schedule. The category B program code is required if the apportionment category is A/B or B. Category B programs are subject to the Anti-Deficiency Act.</w:t>
            </w:r>
          </w:p>
        </w:tc>
        <w:tc>
          <w:tcPr>
            <w:tcW w:w="2880" w:type="dxa"/>
          </w:tcPr>
          <w:p w14:paraId="2B4E3C1F"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 Apportionment Category B Program Code</w:t>
            </w:r>
          </w:p>
        </w:tc>
        <w:tc>
          <w:tcPr>
            <w:tcW w:w="720" w:type="dxa"/>
          </w:tcPr>
          <w:p w14:paraId="73653F6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4/N</w:t>
            </w:r>
          </w:p>
        </w:tc>
        <w:tc>
          <w:tcPr>
            <w:tcW w:w="1300" w:type="dxa"/>
          </w:tcPr>
          <w:p w14:paraId="0E3E8A4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104C2F7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45ADACEC" w14:textId="77777777" w:rsidTr="002879DE">
        <w:trPr>
          <w:cantSplit/>
        </w:trPr>
        <w:tc>
          <w:tcPr>
            <w:tcW w:w="2160" w:type="dxa"/>
          </w:tcPr>
          <w:p w14:paraId="4A07AB24"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Apportionment Category Code</w:t>
            </w:r>
          </w:p>
        </w:tc>
        <w:tc>
          <w:tcPr>
            <w:tcW w:w="1440" w:type="dxa"/>
          </w:tcPr>
          <w:p w14:paraId="233D6F14"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Apport Cat</w:t>
            </w:r>
          </w:p>
        </w:tc>
        <w:tc>
          <w:tcPr>
            <w:tcW w:w="5040" w:type="dxa"/>
          </w:tcPr>
          <w:p w14:paraId="06DB146E"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Identifies OMB apportionments by quarters (Category A) or by other specified time periods, programs, activities, projects, objects, or combinations of these (Category B), or are not subject to apportionment (Category E).</w:t>
            </w:r>
          </w:p>
        </w:tc>
        <w:tc>
          <w:tcPr>
            <w:tcW w:w="2880" w:type="dxa"/>
          </w:tcPr>
          <w:p w14:paraId="1DAB825A"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A - Category A - Quarterly Apportionments,</w:t>
            </w:r>
          </w:p>
          <w:p w14:paraId="57B4679F"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B - Category B - Apportionments other than quarterly,</w:t>
            </w:r>
          </w:p>
          <w:p w14:paraId="3EF8300E"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E - Exempt from Apportionment</w:t>
            </w:r>
          </w:p>
        </w:tc>
        <w:tc>
          <w:tcPr>
            <w:tcW w:w="720" w:type="dxa"/>
          </w:tcPr>
          <w:p w14:paraId="5258552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21C7079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6B7A161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1C332B10" w14:textId="77777777" w:rsidTr="002879DE">
        <w:trPr>
          <w:cantSplit/>
        </w:trPr>
        <w:tc>
          <w:tcPr>
            <w:tcW w:w="2160" w:type="dxa"/>
          </w:tcPr>
          <w:p w14:paraId="32CFA14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Authority Type Code</w:t>
            </w:r>
          </w:p>
        </w:tc>
        <w:tc>
          <w:tcPr>
            <w:tcW w:w="1440" w:type="dxa"/>
          </w:tcPr>
          <w:p w14:paraId="626B7FA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Auth Type Code</w:t>
            </w:r>
          </w:p>
        </w:tc>
        <w:tc>
          <w:tcPr>
            <w:tcW w:w="5040" w:type="dxa"/>
          </w:tcPr>
          <w:p w14:paraId="510C24F8"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Distinguishes among the types of budgetary resources, where it is not possible to do so by the USSGL Account Number Code. For example, the USSGL rescission accounts (USSGL accounts 439200 and 439300) do not distinguish between rescissions of appropriations or contract authority.</w:t>
            </w:r>
          </w:p>
        </w:tc>
        <w:tc>
          <w:tcPr>
            <w:tcW w:w="2880" w:type="dxa"/>
          </w:tcPr>
          <w:p w14:paraId="59F323FF"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B - Borrowing Authority,</w:t>
            </w:r>
          </w:p>
          <w:p w14:paraId="5FB8C8AC"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C - Contract Authority,</w:t>
            </w:r>
          </w:p>
          <w:p w14:paraId="4EF762EC"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Advance Appropriation,</w:t>
            </w:r>
          </w:p>
          <w:p w14:paraId="039ADBEB"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 - Appropriation (Advance Funding) available in Prior Year,</w:t>
            </w:r>
          </w:p>
          <w:p w14:paraId="66F3743A"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F - Appropriation (Advance Funding) available from Subsequent Year,</w:t>
            </w:r>
          </w:p>
          <w:p w14:paraId="24BEB53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P - Appropriation (excluding Advance Funding),</w:t>
            </w:r>
          </w:p>
          <w:p w14:paraId="433A677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R - Reappropriation,</w:t>
            </w:r>
          </w:p>
          <w:p w14:paraId="329FA5A2"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S - Spending Authority from Offsetting Collections,</w:t>
            </w:r>
          </w:p>
          <w:p w14:paraId="31A1FF2F"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X - Transfer of Borrowing Authority Converted to Cash</w:t>
            </w:r>
          </w:p>
        </w:tc>
        <w:tc>
          <w:tcPr>
            <w:tcW w:w="720" w:type="dxa"/>
          </w:tcPr>
          <w:p w14:paraId="2EC784E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3742F2D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 TFM Year-end Closing Bulletin</w:t>
            </w:r>
          </w:p>
        </w:tc>
        <w:tc>
          <w:tcPr>
            <w:tcW w:w="860" w:type="dxa"/>
          </w:tcPr>
          <w:p w14:paraId="1E6B79F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022FF3F1" w14:textId="77777777" w:rsidTr="002879DE">
        <w:trPr>
          <w:cantSplit/>
        </w:trPr>
        <w:tc>
          <w:tcPr>
            <w:tcW w:w="2160" w:type="dxa"/>
          </w:tcPr>
          <w:p w14:paraId="7207C3F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Availability Time Indicator</w:t>
            </w:r>
          </w:p>
        </w:tc>
        <w:tc>
          <w:tcPr>
            <w:tcW w:w="1440" w:type="dxa"/>
          </w:tcPr>
          <w:p w14:paraId="2EF62C6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Avail Time</w:t>
            </w:r>
          </w:p>
        </w:tc>
        <w:tc>
          <w:tcPr>
            <w:tcW w:w="5040" w:type="dxa"/>
          </w:tcPr>
          <w:p w14:paraId="35116812"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whether a budgetary resource is available for new obligations in the current period, or in a subsequent period within the current fiscal year or after being reapportioned in a future fiscal year.</w:t>
            </w:r>
          </w:p>
        </w:tc>
        <w:tc>
          <w:tcPr>
            <w:tcW w:w="2880" w:type="dxa"/>
          </w:tcPr>
          <w:p w14:paraId="77D2446A"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A - Available in current period,</w:t>
            </w:r>
          </w:p>
          <w:p w14:paraId="58979A75"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S - Available in subsequent period</w:t>
            </w:r>
          </w:p>
        </w:tc>
        <w:tc>
          <w:tcPr>
            <w:tcW w:w="720" w:type="dxa"/>
          </w:tcPr>
          <w:p w14:paraId="4B0D4F6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58ABCE2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5211712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2A505F97" w14:textId="77777777" w:rsidTr="002879DE">
        <w:trPr>
          <w:cantSplit/>
        </w:trPr>
        <w:tc>
          <w:tcPr>
            <w:tcW w:w="2160" w:type="dxa"/>
          </w:tcPr>
          <w:p w14:paraId="04AE0C3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lastRenderedPageBreak/>
              <w:t>BEA Category Indicator</w:t>
            </w:r>
          </w:p>
        </w:tc>
        <w:tc>
          <w:tcPr>
            <w:tcW w:w="1440" w:type="dxa"/>
          </w:tcPr>
          <w:p w14:paraId="24166AA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BEA Cat</w:t>
            </w:r>
          </w:p>
        </w:tc>
        <w:tc>
          <w:tcPr>
            <w:tcW w:w="5040" w:type="dxa"/>
          </w:tcPr>
          <w:p w14:paraId="0B0651A4"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At a USSGL account level, indicates whether the Budget Enforcement Act (BEA) category is discretionary or mandatory. Additionally, the BEA Category is also used at a Treasury account level for governmentwide reporting. For Treasury expenditure accounts, this category may be classified as discretionary (D), mandatory (M), or split (S).  For Treasury receipt accounts, this category may be classified as discretionary (D), government (G), mandatory (M), net income (N), or split (S). Note - Split means that agency is reporting both discretionary and mandatory categories. </w:t>
            </w:r>
          </w:p>
        </w:tc>
        <w:tc>
          <w:tcPr>
            <w:tcW w:w="2880" w:type="dxa"/>
          </w:tcPr>
          <w:p w14:paraId="0C76C80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Discretionary,</w:t>
            </w:r>
          </w:p>
          <w:p w14:paraId="43E45C4B"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M - Mandatory</w:t>
            </w:r>
          </w:p>
        </w:tc>
        <w:tc>
          <w:tcPr>
            <w:tcW w:w="720" w:type="dxa"/>
          </w:tcPr>
          <w:p w14:paraId="2AB57DB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0FA52DE0"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4EDDB40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740249E6" w14:textId="77777777" w:rsidTr="002879DE">
        <w:trPr>
          <w:cantSplit/>
        </w:trPr>
        <w:tc>
          <w:tcPr>
            <w:tcW w:w="2160" w:type="dxa"/>
          </w:tcPr>
          <w:p w14:paraId="686FDEA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Begin End Indicator</w:t>
            </w:r>
          </w:p>
        </w:tc>
        <w:tc>
          <w:tcPr>
            <w:tcW w:w="1440" w:type="dxa"/>
          </w:tcPr>
          <w:p w14:paraId="26BE5CE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Begin/End</w:t>
            </w:r>
          </w:p>
        </w:tc>
        <w:tc>
          <w:tcPr>
            <w:tcW w:w="5040" w:type="dxa"/>
          </w:tcPr>
          <w:p w14:paraId="6FFDE8E5"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Indicates whether the balance or an USSGL account/attribute combination is at the start of the fiscal year or at the end of a period. </w:t>
            </w:r>
          </w:p>
        </w:tc>
        <w:tc>
          <w:tcPr>
            <w:tcW w:w="2880" w:type="dxa"/>
          </w:tcPr>
          <w:p w14:paraId="7ADC8C21"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B - Beginning Balance,</w:t>
            </w:r>
          </w:p>
          <w:p w14:paraId="79F8C067"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E - Ending Balance</w:t>
            </w:r>
          </w:p>
        </w:tc>
        <w:tc>
          <w:tcPr>
            <w:tcW w:w="720" w:type="dxa"/>
          </w:tcPr>
          <w:p w14:paraId="56FA175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535E626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TFM</w:t>
            </w:r>
          </w:p>
        </w:tc>
        <w:tc>
          <w:tcPr>
            <w:tcW w:w="860" w:type="dxa"/>
          </w:tcPr>
          <w:p w14:paraId="66F22F0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0F2742A0" w14:textId="77777777" w:rsidTr="002879DE">
        <w:trPr>
          <w:cantSplit/>
        </w:trPr>
        <w:tc>
          <w:tcPr>
            <w:tcW w:w="2160" w:type="dxa"/>
          </w:tcPr>
          <w:p w14:paraId="16D9E52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Borrowing Authority From the Public</w:t>
            </w:r>
          </w:p>
        </w:tc>
        <w:tc>
          <w:tcPr>
            <w:tcW w:w="1440" w:type="dxa"/>
          </w:tcPr>
          <w:p w14:paraId="4038F8E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Borrowing Authority From the Public</w:t>
            </w:r>
          </w:p>
        </w:tc>
        <w:tc>
          <w:tcPr>
            <w:tcW w:w="5040" w:type="dxa"/>
          </w:tcPr>
          <w:p w14:paraId="64B0EFA2"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Definite Indefinite Borrowing Authority from the Public</w:t>
            </w:r>
          </w:p>
        </w:tc>
        <w:tc>
          <w:tcPr>
            <w:tcW w:w="2880" w:type="dxa"/>
          </w:tcPr>
          <w:p w14:paraId="72E60B8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Definite,</w:t>
            </w:r>
          </w:p>
          <w:p w14:paraId="7E54B5D8"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I - Indefinite,</w:t>
            </w:r>
          </w:p>
          <w:p w14:paraId="12D1191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M - Mixed,</w:t>
            </w:r>
          </w:p>
          <w:p w14:paraId="7ABBE69C"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N - Null</w:t>
            </w:r>
          </w:p>
        </w:tc>
        <w:tc>
          <w:tcPr>
            <w:tcW w:w="720" w:type="dxa"/>
          </w:tcPr>
          <w:p w14:paraId="158AE06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1/C</w:t>
            </w:r>
          </w:p>
        </w:tc>
        <w:tc>
          <w:tcPr>
            <w:tcW w:w="1300" w:type="dxa"/>
          </w:tcPr>
          <w:p w14:paraId="0BD0122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MTS</w:t>
            </w:r>
          </w:p>
        </w:tc>
        <w:tc>
          <w:tcPr>
            <w:tcW w:w="860" w:type="dxa"/>
          </w:tcPr>
          <w:p w14:paraId="4855659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0C9FD2F6" w14:textId="77777777" w:rsidTr="002879DE">
        <w:trPr>
          <w:cantSplit/>
        </w:trPr>
        <w:tc>
          <w:tcPr>
            <w:tcW w:w="2160" w:type="dxa"/>
          </w:tcPr>
          <w:p w14:paraId="7033B5C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Borrowing Authority From the Treasury</w:t>
            </w:r>
          </w:p>
        </w:tc>
        <w:tc>
          <w:tcPr>
            <w:tcW w:w="1440" w:type="dxa"/>
          </w:tcPr>
          <w:p w14:paraId="0AD0D82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Borrowing Authority From the Treasury</w:t>
            </w:r>
          </w:p>
        </w:tc>
        <w:tc>
          <w:tcPr>
            <w:tcW w:w="5040" w:type="dxa"/>
          </w:tcPr>
          <w:p w14:paraId="09020434"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Definite Indefinite Borrowing Authority</w:t>
            </w:r>
          </w:p>
        </w:tc>
        <w:tc>
          <w:tcPr>
            <w:tcW w:w="2880" w:type="dxa"/>
          </w:tcPr>
          <w:p w14:paraId="2D67E7CE"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Definite,</w:t>
            </w:r>
          </w:p>
          <w:p w14:paraId="0634840F"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I - Indefinite,</w:t>
            </w:r>
          </w:p>
          <w:p w14:paraId="27BAEC19"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M - Mixed,</w:t>
            </w:r>
          </w:p>
          <w:p w14:paraId="49003AD9"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N - Null</w:t>
            </w:r>
          </w:p>
        </w:tc>
        <w:tc>
          <w:tcPr>
            <w:tcW w:w="720" w:type="dxa"/>
          </w:tcPr>
          <w:p w14:paraId="28DE606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1/C</w:t>
            </w:r>
          </w:p>
        </w:tc>
        <w:tc>
          <w:tcPr>
            <w:tcW w:w="1300" w:type="dxa"/>
          </w:tcPr>
          <w:p w14:paraId="7625843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Treasury</w:t>
            </w:r>
          </w:p>
        </w:tc>
        <w:tc>
          <w:tcPr>
            <w:tcW w:w="860" w:type="dxa"/>
          </w:tcPr>
          <w:p w14:paraId="184E3DA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0C787AB0" w14:textId="77777777" w:rsidTr="002879DE">
        <w:trPr>
          <w:cantSplit/>
        </w:trPr>
        <w:tc>
          <w:tcPr>
            <w:tcW w:w="2160" w:type="dxa"/>
          </w:tcPr>
          <w:p w14:paraId="6A6CF00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 xml:space="preserve">Borrowing Source Code </w:t>
            </w:r>
          </w:p>
        </w:tc>
        <w:tc>
          <w:tcPr>
            <w:tcW w:w="1440" w:type="dxa"/>
          </w:tcPr>
          <w:p w14:paraId="7041DD8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Borrow Source</w:t>
            </w:r>
          </w:p>
        </w:tc>
        <w:tc>
          <w:tcPr>
            <w:tcW w:w="5040" w:type="dxa"/>
          </w:tcPr>
          <w:p w14:paraId="29DCE787"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whether borrowing took place from the public, Treasury, or a federal financing bank.</w:t>
            </w:r>
          </w:p>
        </w:tc>
        <w:tc>
          <w:tcPr>
            <w:tcW w:w="2880" w:type="dxa"/>
          </w:tcPr>
          <w:p w14:paraId="1AAAEB3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F - Federal Financing Bank,</w:t>
            </w:r>
          </w:p>
          <w:p w14:paraId="2A0DF678"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P - Public,</w:t>
            </w:r>
          </w:p>
          <w:p w14:paraId="74B5257E"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T - Treasury</w:t>
            </w:r>
          </w:p>
        </w:tc>
        <w:tc>
          <w:tcPr>
            <w:tcW w:w="720" w:type="dxa"/>
          </w:tcPr>
          <w:p w14:paraId="646C530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2ABAF25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TFM, OMB Circ. No. A-11</w:t>
            </w:r>
          </w:p>
        </w:tc>
        <w:tc>
          <w:tcPr>
            <w:tcW w:w="860" w:type="dxa"/>
          </w:tcPr>
          <w:p w14:paraId="60F0AF0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72CD50CC" w14:textId="77777777" w:rsidTr="002879DE">
        <w:trPr>
          <w:cantSplit/>
        </w:trPr>
        <w:tc>
          <w:tcPr>
            <w:tcW w:w="2160" w:type="dxa"/>
          </w:tcPr>
          <w:p w14:paraId="05077A2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Budget Object Class</w:t>
            </w:r>
          </w:p>
        </w:tc>
        <w:tc>
          <w:tcPr>
            <w:tcW w:w="1440" w:type="dxa"/>
          </w:tcPr>
          <w:p w14:paraId="0AE6A15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Budget Object Class</w:t>
            </w:r>
          </w:p>
        </w:tc>
        <w:tc>
          <w:tcPr>
            <w:tcW w:w="5040" w:type="dxa"/>
          </w:tcPr>
          <w:p w14:paraId="4CC902D0"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Budget Object Classes represent the categories in a classification system that presents obligations by the items or services purchased by the Federal Government</w:t>
            </w:r>
          </w:p>
        </w:tc>
        <w:tc>
          <w:tcPr>
            <w:tcW w:w="2880" w:type="dxa"/>
          </w:tcPr>
          <w:p w14:paraId="567DCED6"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 Budget Object Class Code</w:t>
            </w:r>
          </w:p>
        </w:tc>
        <w:tc>
          <w:tcPr>
            <w:tcW w:w="720" w:type="dxa"/>
          </w:tcPr>
          <w:p w14:paraId="3374C97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4/N</w:t>
            </w:r>
          </w:p>
        </w:tc>
        <w:tc>
          <w:tcPr>
            <w:tcW w:w="1300" w:type="dxa"/>
          </w:tcPr>
          <w:p w14:paraId="2261153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0177FA6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19CCB8F8" w14:textId="77777777" w:rsidTr="002879DE">
        <w:trPr>
          <w:cantSplit/>
        </w:trPr>
        <w:tc>
          <w:tcPr>
            <w:tcW w:w="2160" w:type="dxa"/>
          </w:tcPr>
          <w:p w14:paraId="49A1A21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Budgetary Impact Indicator</w:t>
            </w:r>
          </w:p>
        </w:tc>
        <w:tc>
          <w:tcPr>
            <w:tcW w:w="1440" w:type="dxa"/>
          </w:tcPr>
          <w:p w14:paraId="58D414A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Budgetary Impact Indicator</w:t>
            </w:r>
          </w:p>
        </w:tc>
        <w:tc>
          <w:tcPr>
            <w:tcW w:w="5040" w:type="dxa"/>
          </w:tcPr>
          <w:p w14:paraId="5B297C19"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whether financing resources and non-exchange revenue have an impact on the budget.</w:t>
            </w:r>
          </w:p>
        </w:tc>
        <w:tc>
          <w:tcPr>
            <w:tcW w:w="2880" w:type="dxa"/>
          </w:tcPr>
          <w:p w14:paraId="618AA9B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Budgetary Impact,</w:t>
            </w:r>
          </w:p>
          <w:p w14:paraId="1F9DBB22"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E - Non-Budgetary Impact</w:t>
            </w:r>
          </w:p>
        </w:tc>
        <w:tc>
          <w:tcPr>
            <w:tcW w:w="720" w:type="dxa"/>
          </w:tcPr>
          <w:p w14:paraId="0120BF2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6052E12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TFM</w:t>
            </w:r>
          </w:p>
        </w:tc>
        <w:tc>
          <w:tcPr>
            <w:tcW w:w="860" w:type="dxa"/>
          </w:tcPr>
          <w:p w14:paraId="6695BEF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12356937" w14:textId="77777777" w:rsidTr="002879DE">
        <w:trPr>
          <w:cantSplit/>
        </w:trPr>
        <w:tc>
          <w:tcPr>
            <w:tcW w:w="2160" w:type="dxa"/>
          </w:tcPr>
          <w:p w14:paraId="5DE0B964"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Budgetary Proprietary Code</w:t>
            </w:r>
          </w:p>
        </w:tc>
        <w:tc>
          <w:tcPr>
            <w:tcW w:w="1440" w:type="dxa"/>
          </w:tcPr>
          <w:p w14:paraId="11350D1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Budg/Prop</w:t>
            </w:r>
          </w:p>
        </w:tc>
        <w:tc>
          <w:tcPr>
            <w:tcW w:w="5040" w:type="dxa"/>
          </w:tcPr>
          <w:p w14:paraId="3B44FEEE"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Indicates if a USSGL account is reported on a budgetary, proprietary statement or both. For example, USSGL account 161000 Investments in U.S. Treasury Securities Issued by the Bureau of the Fiscal Service is reported on the Balance Sheet and the Schedule P. USSGL account 161000 domain value will be A. </w:t>
            </w:r>
          </w:p>
        </w:tc>
        <w:tc>
          <w:tcPr>
            <w:tcW w:w="2880" w:type="dxa"/>
          </w:tcPr>
          <w:p w14:paraId="60F4D1CB"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A - Both Budgetary and Proprietary,</w:t>
            </w:r>
          </w:p>
          <w:p w14:paraId="2B2130B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B - Budgetary,</w:t>
            </w:r>
          </w:p>
          <w:p w14:paraId="33569966"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P - Proprietary</w:t>
            </w:r>
          </w:p>
        </w:tc>
        <w:tc>
          <w:tcPr>
            <w:tcW w:w="720" w:type="dxa"/>
          </w:tcPr>
          <w:p w14:paraId="1C47AB6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0486937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 OMB Circ. No. A-136, TFM</w:t>
            </w:r>
          </w:p>
        </w:tc>
        <w:tc>
          <w:tcPr>
            <w:tcW w:w="860" w:type="dxa"/>
          </w:tcPr>
          <w:p w14:paraId="39D3ECE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USSGL</w:t>
            </w:r>
          </w:p>
        </w:tc>
      </w:tr>
      <w:tr w:rsidR="002879DE" w:rsidRPr="002879DE" w14:paraId="6545E480" w14:textId="77777777" w:rsidTr="002879DE">
        <w:trPr>
          <w:cantSplit/>
        </w:trPr>
        <w:tc>
          <w:tcPr>
            <w:tcW w:w="2160" w:type="dxa"/>
          </w:tcPr>
          <w:p w14:paraId="2612150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lastRenderedPageBreak/>
              <w:t>Bureau Code</w:t>
            </w:r>
          </w:p>
        </w:tc>
        <w:tc>
          <w:tcPr>
            <w:tcW w:w="1440" w:type="dxa"/>
          </w:tcPr>
          <w:p w14:paraId="1EBDBAA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Bureau Code</w:t>
            </w:r>
          </w:p>
        </w:tc>
        <w:tc>
          <w:tcPr>
            <w:tcW w:w="5040" w:type="dxa"/>
          </w:tcPr>
          <w:p w14:paraId="6FADB3D0"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Identifies the Code used to associate ATB activity to a specific Bureau within that Agency. Allows Agencies with TAS/ATB activity crossing multiple Bureaus to be able to create Bureau level Financial Statements within an Agency. This Attribute is not required for monthly GTAS Bulkdata submissions. It is strictly for use by Agencies for their own internal reporting needs.</w:t>
            </w:r>
          </w:p>
        </w:tc>
        <w:tc>
          <w:tcPr>
            <w:tcW w:w="2880" w:type="dxa"/>
          </w:tcPr>
          <w:p w14:paraId="75D82008"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 Bureau Code</w:t>
            </w:r>
          </w:p>
        </w:tc>
        <w:tc>
          <w:tcPr>
            <w:tcW w:w="720" w:type="dxa"/>
          </w:tcPr>
          <w:p w14:paraId="7F51BB4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5/C</w:t>
            </w:r>
          </w:p>
        </w:tc>
        <w:tc>
          <w:tcPr>
            <w:tcW w:w="1300" w:type="dxa"/>
          </w:tcPr>
          <w:p w14:paraId="7D8A940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Agency</w:t>
            </w:r>
          </w:p>
        </w:tc>
        <w:tc>
          <w:tcPr>
            <w:tcW w:w="860" w:type="dxa"/>
          </w:tcPr>
          <w:p w14:paraId="485E509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7FB2556D" w14:textId="77777777" w:rsidTr="002879DE">
        <w:trPr>
          <w:cantSplit/>
        </w:trPr>
        <w:tc>
          <w:tcPr>
            <w:tcW w:w="2160" w:type="dxa"/>
          </w:tcPr>
          <w:p w14:paraId="455BFF2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Contract Authority</w:t>
            </w:r>
          </w:p>
        </w:tc>
        <w:tc>
          <w:tcPr>
            <w:tcW w:w="1440" w:type="dxa"/>
          </w:tcPr>
          <w:p w14:paraId="75596B2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Contract Authority</w:t>
            </w:r>
          </w:p>
        </w:tc>
        <w:tc>
          <w:tcPr>
            <w:tcW w:w="5040" w:type="dxa"/>
          </w:tcPr>
          <w:p w14:paraId="02701F58"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Definite or Indefinite Contract Authority</w:t>
            </w:r>
          </w:p>
        </w:tc>
        <w:tc>
          <w:tcPr>
            <w:tcW w:w="2880" w:type="dxa"/>
          </w:tcPr>
          <w:p w14:paraId="226F2FBD"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Definite,</w:t>
            </w:r>
          </w:p>
          <w:p w14:paraId="1E87250E"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I - Indefinite,</w:t>
            </w:r>
          </w:p>
          <w:p w14:paraId="41A547D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M - Mixed,</w:t>
            </w:r>
          </w:p>
          <w:p w14:paraId="7CC15D4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N - Null</w:t>
            </w:r>
          </w:p>
        </w:tc>
        <w:tc>
          <w:tcPr>
            <w:tcW w:w="720" w:type="dxa"/>
          </w:tcPr>
          <w:p w14:paraId="2123DDF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1/C</w:t>
            </w:r>
          </w:p>
        </w:tc>
        <w:tc>
          <w:tcPr>
            <w:tcW w:w="1300" w:type="dxa"/>
          </w:tcPr>
          <w:p w14:paraId="7806DB5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MTS</w:t>
            </w:r>
          </w:p>
        </w:tc>
        <w:tc>
          <w:tcPr>
            <w:tcW w:w="860" w:type="dxa"/>
          </w:tcPr>
          <w:p w14:paraId="3A19828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0F70E4DF" w14:textId="77777777" w:rsidTr="002879DE">
        <w:trPr>
          <w:cantSplit/>
        </w:trPr>
        <w:tc>
          <w:tcPr>
            <w:tcW w:w="2160" w:type="dxa"/>
          </w:tcPr>
          <w:p w14:paraId="7784409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Credit Cohort Year</w:t>
            </w:r>
          </w:p>
        </w:tc>
        <w:tc>
          <w:tcPr>
            <w:tcW w:w="1440" w:type="dxa"/>
          </w:tcPr>
          <w:p w14:paraId="27AFB75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Cohort Yr</w:t>
            </w:r>
          </w:p>
        </w:tc>
        <w:tc>
          <w:tcPr>
            <w:tcW w:w="5040" w:type="dxa"/>
          </w:tcPr>
          <w:p w14:paraId="1B19DC54"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Fiscal year when direct loans are obligated or guarantees committed by a program, even if disbursements occur in subsequent fiscal years.</w:t>
            </w:r>
          </w:p>
        </w:tc>
        <w:tc>
          <w:tcPr>
            <w:tcW w:w="2880" w:type="dxa"/>
          </w:tcPr>
          <w:p w14:paraId="4A2633D1"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1001 - OPIC Working Capital,</w:t>
            </w:r>
          </w:p>
          <w:p w14:paraId="369EC6B2" w14:textId="1CB217B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1992-</w:t>
            </w:r>
            <w:r w:rsidR="004C402F">
              <w:rPr>
                <w:rFonts w:ascii="TimesNewRoman" w:hAnsi="TimesNewRoman" w:cs="Courier New"/>
                <w:strike/>
                <w:color w:val="FF0000"/>
                <w:sz w:val="20"/>
              </w:rPr>
              <w:t>2027</w:t>
            </w:r>
            <w:r w:rsidRPr="004C402F">
              <w:rPr>
                <w:rFonts w:ascii="TimesNewRoman" w:hAnsi="TimesNewRoman" w:cs="Courier New"/>
                <w:b/>
                <w:bCs/>
                <w:color w:val="0070C0"/>
                <w:sz w:val="20"/>
                <w:highlight w:val="yellow"/>
              </w:rPr>
              <w:t>2028</w:t>
            </w:r>
          </w:p>
        </w:tc>
        <w:tc>
          <w:tcPr>
            <w:tcW w:w="720" w:type="dxa"/>
          </w:tcPr>
          <w:p w14:paraId="0439787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4/N</w:t>
            </w:r>
          </w:p>
        </w:tc>
        <w:tc>
          <w:tcPr>
            <w:tcW w:w="1300" w:type="dxa"/>
          </w:tcPr>
          <w:p w14:paraId="2BCFA3A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57C72F5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319FAB40" w14:textId="77777777" w:rsidTr="002879DE">
        <w:trPr>
          <w:cantSplit/>
        </w:trPr>
        <w:tc>
          <w:tcPr>
            <w:tcW w:w="2160" w:type="dxa"/>
          </w:tcPr>
          <w:p w14:paraId="7908E99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Custodial Noncustodial Indicator</w:t>
            </w:r>
          </w:p>
        </w:tc>
        <w:tc>
          <w:tcPr>
            <w:tcW w:w="1440" w:type="dxa"/>
          </w:tcPr>
          <w:p w14:paraId="65F5667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Cust/Noncust</w:t>
            </w:r>
          </w:p>
        </w:tc>
        <w:tc>
          <w:tcPr>
            <w:tcW w:w="5040" w:type="dxa"/>
          </w:tcPr>
          <w:p w14:paraId="1269011C"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Custodial amounts are reported on the Statement of Custodial Activity (SCA) or on the custodial footnote. Noncustodial amounts are not reported on the SCA nor on the custodial footnote.</w:t>
            </w:r>
          </w:p>
        </w:tc>
        <w:tc>
          <w:tcPr>
            <w:tcW w:w="2880" w:type="dxa"/>
          </w:tcPr>
          <w:p w14:paraId="615C37C8"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A - Non-custodial,</w:t>
            </w:r>
          </w:p>
          <w:p w14:paraId="29D4DEBB"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S - Custodial</w:t>
            </w:r>
          </w:p>
        </w:tc>
        <w:tc>
          <w:tcPr>
            <w:tcW w:w="720" w:type="dxa"/>
          </w:tcPr>
          <w:p w14:paraId="66717510"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29A4CB7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SFFAS #7, OMB Circ. No. A-136</w:t>
            </w:r>
          </w:p>
        </w:tc>
        <w:tc>
          <w:tcPr>
            <w:tcW w:w="860" w:type="dxa"/>
          </w:tcPr>
          <w:p w14:paraId="321D85B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373985BF" w14:textId="77777777" w:rsidTr="002879DE">
        <w:trPr>
          <w:cantSplit/>
        </w:trPr>
        <w:tc>
          <w:tcPr>
            <w:tcW w:w="2160" w:type="dxa"/>
          </w:tcPr>
          <w:p w14:paraId="5579940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Debit Credit Indicator</w:t>
            </w:r>
          </w:p>
        </w:tc>
        <w:tc>
          <w:tcPr>
            <w:tcW w:w="1440" w:type="dxa"/>
          </w:tcPr>
          <w:p w14:paraId="3431ED2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Debit/Credit</w:t>
            </w:r>
          </w:p>
        </w:tc>
        <w:tc>
          <w:tcPr>
            <w:tcW w:w="5040" w:type="dxa"/>
          </w:tcPr>
          <w:p w14:paraId="7A649622"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whether the balance reported is a debit or credit.</w:t>
            </w:r>
          </w:p>
        </w:tc>
        <w:tc>
          <w:tcPr>
            <w:tcW w:w="2880" w:type="dxa"/>
          </w:tcPr>
          <w:p w14:paraId="7FE09ECB"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C - Credit,</w:t>
            </w:r>
          </w:p>
          <w:p w14:paraId="6738C91B"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 - Debit</w:t>
            </w:r>
          </w:p>
        </w:tc>
        <w:tc>
          <w:tcPr>
            <w:tcW w:w="720" w:type="dxa"/>
          </w:tcPr>
          <w:p w14:paraId="0887F84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634CDC70"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 OMB Circ. No. A-136, TFM</w:t>
            </w:r>
          </w:p>
        </w:tc>
        <w:tc>
          <w:tcPr>
            <w:tcW w:w="860" w:type="dxa"/>
          </w:tcPr>
          <w:p w14:paraId="16B19F50"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23D0FF16" w14:textId="77777777" w:rsidTr="002879DE">
        <w:trPr>
          <w:cantSplit/>
        </w:trPr>
        <w:tc>
          <w:tcPr>
            <w:tcW w:w="2160" w:type="dxa"/>
          </w:tcPr>
          <w:p w14:paraId="34CCC76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Disaster Emergency Fund Code</w:t>
            </w:r>
          </w:p>
        </w:tc>
        <w:tc>
          <w:tcPr>
            <w:tcW w:w="1440" w:type="dxa"/>
          </w:tcPr>
          <w:p w14:paraId="2F09A9A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DEFC</w:t>
            </w:r>
          </w:p>
        </w:tc>
        <w:tc>
          <w:tcPr>
            <w:tcW w:w="5040" w:type="dxa"/>
          </w:tcPr>
          <w:p w14:paraId="20BE6E92"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Distinguishes whether the budgetary resources, obligations incurred, unobligated and obligated balances, and outlays are classified as disaster, emergency, wildfire suppression or none of the three. Note - Once one of the three has been identified, the title "Disaster/Emergency/Wildfire Suppression", for example, will be replaced with the actual title identified by OMB such as "Emergency PL 115-56." For the current list of DEFC values, visit the Disaster and Emergency Funding Tracking Dashboard (https://community.max.gov/x/cYW9V).</w:t>
            </w:r>
          </w:p>
        </w:tc>
        <w:tc>
          <w:tcPr>
            <w:tcW w:w="2880" w:type="dxa"/>
          </w:tcPr>
          <w:p w14:paraId="44A49707"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1 or 3 character OMB approved value</w:t>
            </w:r>
          </w:p>
        </w:tc>
        <w:tc>
          <w:tcPr>
            <w:tcW w:w="720" w:type="dxa"/>
          </w:tcPr>
          <w:p w14:paraId="7942C60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3/C</w:t>
            </w:r>
          </w:p>
        </w:tc>
        <w:tc>
          <w:tcPr>
            <w:tcW w:w="1300" w:type="dxa"/>
          </w:tcPr>
          <w:p w14:paraId="11B3D64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Guidance/TFM</w:t>
            </w:r>
          </w:p>
        </w:tc>
        <w:tc>
          <w:tcPr>
            <w:tcW w:w="860" w:type="dxa"/>
          </w:tcPr>
          <w:p w14:paraId="3B2F620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22A7277B" w14:textId="77777777" w:rsidTr="002879DE">
        <w:trPr>
          <w:cantSplit/>
        </w:trPr>
        <w:tc>
          <w:tcPr>
            <w:tcW w:w="2160" w:type="dxa"/>
          </w:tcPr>
          <w:p w14:paraId="23D6C69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Exchange Nonexchange Code</w:t>
            </w:r>
          </w:p>
        </w:tc>
        <w:tc>
          <w:tcPr>
            <w:tcW w:w="1440" w:type="dxa"/>
          </w:tcPr>
          <w:p w14:paraId="018D28E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Exch/Nonexch</w:t>
            </w:r>
          </w:p>
        </w:tc>
        <w:tc>
          <w:tcPr>
            <w:tcW w:w="5040" w:type="dxa"/>
          </w:tcPr>
          <w:p w14:paraId="1F681465"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Indicates whether the revenue, gains or losses balances being reported is exchange (X), nonexchange (T) or (E) exchange revenue with little or no associated costs. </w:t>
            </w:r>
          </w:p>
        </w:tc>
        <w:tc>
          <w:tcPr>
            <w:tcW w:w="2880" w:type="dxa"/>
          </w:tcPr>
          <w:p w14:paraId="76E329AD"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 - Exchange without associated costs,</w:t>
            </w:r>
          </w:p>
          <w:p w14:paraId="03C2C60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T - Nonexchange,</w:t>
            </w:r>
          </w:p>
          <w:p w14:paraId="6233B34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X - Exchange</w:t>
            </w:r>
          </w:p>
        </w:tc>
        <w:tc>
          <w:tcPr>
            <w:tcW w:w="720" w:type="dxa"/>
          </w:tcPr>
          <w:p w14:paraId="7470FE6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2DDDD42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 xml:space="preserve">SFFAS #7, TFM </w:t>
            </w:r>
          </w:p>
        </w:tc>
        <w:tc>
          <w:tcPr>
            <w:tcW w:w="860" w:type="dxa"/>
          </w:tcPr>
          <w:p w14:paraId="322077F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09185040" w14:textId="77777777" w:rsidTr="002879DE">
        <w:trPr>
          <w:cantSplit/>
        </w:trPr>
        <w:tc>
          <w:tcPr>
            <w:tcW w:w="2160" w:type="dxa"/>
          </w:tcPr>
          <w:p w14:paraId="01A270F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lastRenderedPageBreak/>
              <w:t>Federal Non-Federal Code</w:t>
            </w:r>
          </w:p>
        </w:tc>
        <w:tc>
          <w:tcPr>
            <w:tcW w:w="1440" w:type="dxa"/>
          </w:tcPr>
          <w:p w14:paraId="4FD4F1B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Fed/NonFed</w:t>
            </w:r>
          </w:p>
        </w:tc>
        <w:tc>
          <w:tcPr>
            <w:tcW w:w="5040" w:type="dxa"/>
          </w:tcPr>
          <w:p w14:paraId="374B1ECE"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Indicates the type of entity involved in transactions with the reporting entity: other federal entities (F); non-federal entities such as private/local/state/tribal/foreign governments (N), exceptions for other non-federal partners (E), unidentified federal activity that does not have a trading partner (Z), or General Fund of the U.S. Government only (G). </w:t>
            </w:r>
          </w:p>
        </w:tc>
        <w:tc>
          <w:tcPr>
            <w:tcW w:w="2880" w:type="dxa"/>
          </w:tcPr>
          <w:p w14:paraId="57E991C9" w14:textId="3B105600" w:rsid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E - </w:t>
            </w:r>
            <w:r w:rsidR="004C402F">
              <w:rPr>
                <w:rFonts w:ascii="TimesNewRoman" w:hAnsi="TimesNewRoman" w:cs="Courier New"/>
                <w:sz w:val="20"/>
              </w:rPr>
              <w:t>Non-Federal</w:t>
            </w:r>
            <w:r>
              <w:rPr>
                <w:rFonts w:ascii="TimesNewRoman" w:hAnsi="TimesNewRoman" w:cs="Courier New"/>
                <w:sz w:val="20"/>
              </w:rPr>
              <w:t xml:space="preserve"> Exception,</w:t>
            </w:r>
          </w:p>
          <w:p w14:paraId="368ABAC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F - Federal,</w:t>
            </w:r>
          </w:p>
          <w:p w14:paraId="032BB68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G - General Fund of the U.S. Government Only,</w:t>
            </w:r>
          </w:p>
          <w:p w14:paraId="3F059A1B" w14:textId="6DECC0F8" w:rsid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N - </w:t>
            </w:r>
            <w:r w:rsidR="004C402F">
              <w:rPr>
                <w:rFonts w:ascii="TimesNewRoman" w:hAnsi="TimesNewRoman" w:cs="Courier New"/>
                <w:sz w:val="20"/>
              </w:rPr>
              <w:t>Non-Federal</w:t>
            </w:r>
            <w:r>
              <w:rPr>
                <w:rFonts w:ascii="TimesNewRoman" w:hAnsi="TimesNewRoman" w:cs="Courier New"/>
                <w:sz w:val="20"/>
              </w:rPr>
              <w:t>,</w:t>
            </w:r>
          </w:p>
          <w:p w14:paraId="54F5C178"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Z - Non-Reciprocating Federal Activity</w:t>
            </w:r>
          </w:p>
        </w:tc>
        <w:tc>
          <w:tcPr>
            <w:tcW w:w="720" w:type="dxa"/>
          </w:tcPr>
          <w:p w14:paraId="730C0A4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2FF274D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 xml:space="preserve">SFFAS #7, TFM </w:t>
            </w:r>
          </w:p>
        </w:tc>
        <w:tc>
          <w:tcPr>
            <w:tcW w:w="860" w:type="dxa"/>
          </w:tcPr>
          <w:p w14:paraId="037A624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3516FED5" w14:textId="77777777" w:rsidTr="002879DE">
        <w:trPr>
          <w:cantSplit/>
        </w:trPr>
        <w:tc>
          <w:tcPr>
            <w:tcW w:w="2160" w:type="dxa"/>
          </w:tcPr>
          <w:p w14:paraId="04CB6BA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Financing Account Code</w:t>
            </w:r>
          </w:p>
        </w:tc>
        <w:tc>
          <w:tcPr>
            <w:tcW w:w="1440" w:type="dxa"/>
          </w:tcPr>
          <w:p w14:paraId="0AEE0605"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Financing Account Code</w:t>
            </w:r>
          </w:p>
        </w:tc>
        <w:tc>
          <w:tcPr>
            <w:tcW w:w="5040" w:type="dxa"/>
          </w:tcPr>
          <w:p w14:paraId="6869963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whether the federal account symbol is a Direct Loan Financing Account, a Guaranteed Loan Financing Account, or is not a financing account as defined by the Federal Credit Reform Act of 1990.</w:t>
            </w:r>
          </w:p>
        </w:tc>
        <w:tc>
          <w:tcPr>
            <w:tcW w:w="2880" w:type="dxa"/>
          </w:tcPr>
          <w:p w14:paraId="35B41F0F"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Direct,</w:t>
            </w:r>
          </w:p>
          <w:p w14:paraId="5A1857F1"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G - Guaranteed,</w:t>
            </w:r>
          </w:p>
          <w:p w14:paraId="72F29C0E"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N - Nonfinancing</w:t>
            </w:r>
          </w:p>
        </w:tc>
        <w:tc>
          <w:tcPr>
            <w:tcW w:w="720" w:type="dxa"/>
          </w:tcPr>
          <w:p w14:paraId="6059A75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6A74AD5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SF 133, Schedule P</w:t>
            </w:r>
          </w:p>
        </w:tc>
        <w:tc>
          <w:tcPr>
            <w:tcW w:w="860" w:type="dxa"/>
          </w:tcPr>
          <w:p w14:paraId="192B8195"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2238D2E0" w14:textId="77777777" w:rsidTr="002879DE">
        <w:trPr>
          <w:cantSplit/>
        </w:trPr>
        <w:tc>
          <w:tcPr>
            <w:tcW w:w="2160" w:type="dxa"/>
          </w:tcPr>
          <w:p w14:paraId="4E3AF2B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lastRenderedPageBreak/>
              <w:t xml:space="preserve">GTAS Fund Type Code </w:t>
            </w:r>
          </w:p>
        </w:tc>
        <w:tc>
          <w:tcPr>
            <w:tcW w:w="1440" w:type="dxa"/>
          </w:tcPr>
          <w:p w14:paraId="467E3F4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Fund Type</w:t>
            </w:r>
          </w:p>
        </w:tc>
        <w:tc>
          <w:tcPr>
            <w:tcW w:w="5040" w:type="dxa"/>
          </w:tcPr>
          <w:p w14:paraId="744F7198"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A classification established in law that describes an OMB account's relationship to the government, and the source of the receipts that the account is provided. The first digit (and sometimes second digit, as well) of the Treasury Account Main Code is also used to designate General Fund category (Treasury Financial Manual (TFM) Volume I, Part 2, Chapter 1500).</w:t>
            </w:r>
          </w:p>
        </w:tc>
        <w:tc>
          <w:tcPr>
            <w:tcW w:w="2880" w:type="dxa"/>
          </w:tcPr>
          <w:p w14:paraId="26C5C16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CF - Clearing Account (F3500-F3885),</w:t>
            </w:r>
          </w:p>
          <w:p w14:paraId="0B98E5D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DF - Deposit Fund. (6000-6999),</w:t>
            </w:r>
          </w:p>
          <w:p w14:paraId="03B5E151"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EC - Consolidated Working Fund (3900-3959),</w:t>
            </w:r>
          </w:p>
          <w:p w14:paraId="73919818"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EG - General Fund (0000-3899),</w:t>
            </w:r>
          </w:p>
          <w:p w14:paraId="3384CF59"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EM - Management Fund (3960-3999),</w:t>
            </w:r>
          </w:p>
          <w:p w14:paraId="0913624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EP - Public Enterprise Revolving Funds (4000-4499),</w:t>
            </w:r>
          </w:p>
          <w:p w14:paraId="47ADE23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ER - Intragovernmental Revolving Funds (4500-4999),</w:t>
            </w:r>
          </w:p>
          <w:p w14:paraId="74CBEFBB"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ES - Special Fund (5000-5999),</w:t>
            </w:r>
          </w:p>
          <w:p w14:paraId="4EB8C90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ET - Trust Non-revolving Fund (8000-8399 &amp; 8500-8999),</w:t>
            </w:r>
          </w:p>
          <w:p w14:paraId="2204E132"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GA - General Fund of the U.S. Government Authority,</w:t>
            </w:r>
          </w:p>
          <w:p w14:paraId="303FF1DD"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MR - Miscellaneous Unavailable Receipts (9500-9550),</w:t>
            </w:r>
          </w:p>
          <w:p w14:paraId="202E75B1"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TR - Trust Revolving Fund (8400-8499),</w:t>
            </w:r>
          </w:p>
          <w:p w14:paraId="3165C8F0"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UG - Unavailable General Fund Receipt (0000-3499),</w:t>
            </w:r>
          </w:p>
          <w:p w14:paraId="28DA7D86"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US - Unavailable Special Fund Receipt (5000-5999),</w:t>
            </w:r>
          </w:p>
          <w:p w14:paraId="610E4B74"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UT - Unavailable Trust Non-Revolving Fund Receipt (8000-8399 &amp; 8500-8999)</w:t>
            </w:r>
          </w:p>
        </w:tc>
        <w:tc>
          <w:tcPr>
            <w:tcW w:w="720" w:type="dxa"/>
          </w:tcPr>
          <w:p w14:paraId="7C718FC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2/A</w:t>
            </w:r>
          </w:p>
        </w:tc>
        <w:tc>
          <w:tcPr>
            <w:tcW w:w="1300" w:type="dxa"/>
          </w:tcPr>
          <w:p w14:paraId="2BA6DCE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FAST Book</w:t>
            </w:r>
          </w:p>
        </w:tc>
        <w:tc>
          <w:tcPr>
            <w:tcW w:w="860" w:type="dxa"/>
          </w:tcPr>
          <w:p w14:paraId="3B75688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63809BCC" w14:textId="77777777" w:rsidTr="002879DE">
        <w:trPr>
          <w:cantSplit/>
        </w:trPr>
        <w:tc>
          <w:tcPr>
            <w:tcW w:w="2160" w:type="dxa"/>
          </w:tcPr>
          <w:p w14:paraId="78FE933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Normal Balance Indicator</w:t>
            </w:r>
          </w:p>
        </w:tc>
        <w:tc>
          <w:tcPr>
            <w:tcW w:w="1440" w:type="dxa"/>
          </w:tcPr>
          <w:p w14:paraId="5961CB5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Norm Bal</w:t>
            </w:r>
          </w:p>
        </w:tc>
        <w:tc>
          <w:tcPr>
            <w:tcW w:w="5040" w:type="dxa"/>
          </w:tcPr>
          <w:p w14:paraId="17C3A5B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Normal condition of the balance in an USSGL account (debit or credit).</w:t>
            </w:r>
          </w:p>
        </w:tc>
        <w:tc>
          <w:tcPr>
            <w:tcW w:w="2880" w:type="dxa"/>
          </w:tcPr>
          <w:p w14:paraId="47B8819E"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C - Credit,</w:t>
            </w:r>
          </w:p>
          <w:p w14:paraId="0C517014"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D - Debit</w:t>
            </w:r>
          </w:p>
        </w:tc>
        <w:tc>
          <w:tcPr>
            <w:tcW w:w="720" w:type="dxa"/>
          </w:tcPr>
          <w:p w14:paraId="2B45756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22B5A47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SF 133, Schedule P</w:t>
            </w:r>
          </w:p>
        </w:tc>
        <w:tc>
          <w:tcPr>
            <w:tcW w:w="860" w:type="dxa"/>
          </w:tcPr>
          <w:p w14:paraId="2D7458D5"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USSGL</w:t>
            </w:r>
          </w:p>
        </w:tc>
      </w:tr>
      <w:tr w:rsidR="002879DE" w:rsidRPr="002879DE" w14:paraId="5264D1D9" w14:textId="77777777" w:rsidTr="002879DE">
        <w:trPr>
          <w:cantSplit/>
        </w:trPr>
        <w:tc>
          <w:tcPr>
            <w:tcW w:w="2160" w:type="dxa"/>
          </w:tcPr>
          <w:p w14:paraId="57E5D8B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lastRenderedPageBreak/>
              <w:t>Prior Year Adjustment Code</w:t>
            </w:r>
          </w:p>
        </w:tc>
        <w:tc>
          <w:tcPr>
            <w:tcW w:w="1440" w:type="dxa"/>
          </w:tcPr>
          <w:p w14:paraId="27B6FA9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PY Adj</w:t>
            </w:r>
          </w:p>
        </w:tc>
        <w:tc>
          <w:tcPr>
            <w:tcW w:w="5040" w:type="dxa"/>
          </w:tcPr>
          <w:p w14:paraId="31B8F34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Changes to obligated or unobligated balances that occurred in the previous fiscal year but were not recorded in the appropriate TAFS as of October 1 of the current fiscal year. Exclude upward and downward adjustments to current-year/prior-year obligations and most reclassifications from clearing accounts.</w:t>
            </w:r>
          </w:p>
        </w:tc>
        <w:tc>
          <w:tcPr>
            <w:tcW w:w="2880" w:type="dxa"/>
          </w:tcPr>
          <w:p w14:paraId="1F591AD9"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B - Adjustment to prior-year reporting - backdated in Treasury's central accounting system,</w:t>
            </w:r>
          </w:p>
          <w:p w14:paraId="3867B19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P - Adjustment to prior-year reporting - not backdated in Treasury's central accounting system,</w:t>
            </w:r>
          </w:p>
          <w:p w14:paraId="7D143DD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X - Not an adjustment to prior-year reporting</w:t>
            </w:r>
          </w:p>
        </w:tc>
        <w:tc>
          <w:tcPr>
            <w:tcW w:w="720" w:type="dxa"/>
          </w:tcPr>
          <w:p w14:paraId="0C94B74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4048AAF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3ED37CB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55BC2785" w14:textId="77777777" w:rsidTr="002879DE">
        <w:trPr>
          <w:cantSplit/>
        </w:trPr>
        <w:tc>
          <w:tcPr>
            <w:tcW w:w="2160" w:type="dxa"/>
          </w:tcPr>
          <w:p w14:paraId="00D3495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Program Report Category Code</w:t>
            </w:r>
          </w:p>
        </w:tc>
        <w:tc>
          <w:tcPr>
            <w:tcW w:w="1440" w:type="dxa"/>
          </w:tcPr>
          <w:p w14:paraId="44B1BB2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 xml:space="preserve">Program </w:t>
            </w:r>
            <w:proofErr w:type="spellStart"/>
            <w:r w:rsidRPr="002879DE">
              <w:rPr>
                <w:rFonts w:ascii="TimesNewRoman" w:hAnsi="TimesNewRoman" w:cs="Courier New"/>
                <w:sz w:val="20"/>
              </w:rPr>
              <w:t>Rpt</w:t>
            </w:r>
            <w:proofErr w:type="spellEnd"/>
            <w:r w:rsidRPr="002879DE">
              <w:rPr>
                <w:rFonts w:ascii="TimesNewRoman" w:hAnsi="TimesNewRoman" w:cs="Courier New"/>
                <w:sz w:val="20"/>
              </w:rPr>
              <w:t xml:space="preserve"> Cat</w:t>
            </w:r>
          </w:p>
        </w:tc>
        <w:tc>
          <w:tcPr>
            <w:tcW w:w="5040" w:type="dxa"/>
          </w:tcPr>
          <w:p w14:paraId="7166204F"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Identifies a program report category that agencies use when reporting their obligations in their detailed financial information. Agencies may use this code when reporting either Category A or Category B obligations. Unlike the Apportionment Category B Program, this code is NOT subject to the Anti-Deficiency Act.</w:t>
            </w:r>
          </w:p>
        </w:tc>
        <w:tc>
          <w:tcPr>
            <w:tcW w:w="2880" w:type="dxa"/>
          </w:tcPr>
          <w:p w14:paraId="75F26B2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 Program Report Category Code</w:t>
            </w:r>
          </w:p>
        </w:tc>
        <w:tc>
          <w:tcPr>
            <w:tcW w:w="720" w:type="dxa"/>
          </w:tcPr>
          <w:p w14:paraId="7005020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2/N</w:t>
            </w:r>
          </w:p>
        </w:tc>
        <w:tc>
          <w:tcPr>
            <w:tcW w:w="1300" w:type="dxa"/>
          </w:tcPr>
          <w:p w14:paraId="0B2C423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3BF58A0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59ADAE64" w14:textId="77777777" w:rsidTr="002879DE">
        <w:trPr>
          <w:cantSplit/>
        </w:trPr>
        <w:tc>
          <w:tcPr>
            <w:tcW w:w="2160" w:type="dxa"/>
          </w:tcPr>
          <w:p w14:paraId="2E450D6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Reduction Type Code</w:t>
            </w:r>
          </w:p>
        </w:tc>
        <w:tc>
          <w:tcPr>
            <w:tcW w:w="1440" w:type="dxa"/>
          </w:tcPr>
          <w:p w14:paraId="2A1F29F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Reduction Type</w:t>
            </w:r>
          </w:p>
        </w:tc>
        <w:tc>
          <w:tcPr>
            <w:tcW w:w="5040" w:type="dxa"/>
          </w:tcPr>
          <w:p w14:paraId="0898C504"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The code representing the type of reduction being reported (e.g., Across The Board, Sequestration or Other) in detailed financial information. </w:t>
            </w:r>
          </w:p>
        </w:tc>
        <w:tc>
          <w:tcPr>
            <w:tcW w:w="2880" w:type="dxa"/>
          </w:tcPr>
          <w:p w14:paraId="67CAE259"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ATB - Across The Board reduction,</w:t>
            </w:r>
          </w:p>
          <w:p w14:paraId="6D5A5D80"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OTR - Reductions other than ATB and SEQ,</w:t>
            </w:r>
          </w:p>
          <w:p w14:paraId="3EC1EA4A"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SEQ - Sequestration,</w:t>
            </w:r>
          </w:p>
          <w:p w14:paraId="3045FD37"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XXX - N.A.</w:t>
            </w:r>
          </w:p>
        </w:tc>
        <w:tc>
          <w:tcPr>
            <w:tcW w:w="720" w:type="dxa"/>
          </w:tcPr>
          <w:p w14:paraId="080FE2C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3/A</w:t>
            </w:r>
          </w:p>
        </w:tc>
        <w:tc>
          <w:tcPr>
            <w:tcW w:w="1300" w:type="dxa"/>
          </w:tcPr>
          <w:p w14:paraId="647B9DD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75625D9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1ECA97C7" w14:textId="77777777" w:rsidTr="002879DE">
        <w:trPr>
          <w:cantSplit/>
        </w:trPr>
        <w:tc>
          <w:tcPr>
            <w:tcW w:w="2160" w:type="dxa"/>
          </w:tcPr>
          <w:p w14:paraId="77081D3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Reimbursable Flag Indicator</w:t>
            </w:r>
          </w:p>
        </w:tc>
        <w:tc>
          <w:tcPr>
            <w:tcW w:w="1440" w:type="dxa"/>
          </w:tcPr>
          <w:p w14:paraId="0D5701C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Reimb Flag</w:t>
            </w:r>
          </w:p>
        </w:tc>
        <w:tc>
          <w:tcPr>
            <w:tcW w:w="5040" w:type="dxa"/>
          </w:tcPr>
          <w:p w14:paraId="5DED28DB"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whether amounts for goods, services, and joint project support are financed by offsetting collections.</w:t>
            </w:r>
          </w:p>
        </w:tc>
        <w:tc>
          <w:tcPr>
            <w:tcW w:w="2880" w:type="dxa"/>
          </w:tcPr>
          <w:p w14:paraId="6E453E69"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D - Direct,</w:t>
            </w:r>
          </w:p>
          <w:p w14:paraId="71782EB7"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R - Reimbursable</w:t>
            </w:r>
          </w:p>
        </w:tc>
        <w:tc>
          <w:tcPr>
            <w:tcW w:w="720" w:type="dxa"/>
          </w:tcPr>
          <w:p w14:paraId="2AA503F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1795DA5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6AE643F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46C33C7A" w14:textId="77777777" w:rsidTr="002879DE">
        <w:trPr>
          <w:cantSplit/>
        </w:trPr>
        <w:tc>
          <w:tcPr>
            <w:tcW w:w="2160" w:type="dxa"/>
          </w:tcPr>
          <w:p w14:paraId="5D2D6B8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Reporting Type Code</w:t>
            </w:r>
          </w:p>
        </w:tc>
        <w:tc>
          <w:tcPr>
            <w:tcW w:w="1440" w:type="dxa"/>
          </w:tcPr>
          <w:p w14:paraId="3284249E"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Reporting Type Code</w:t>
            </w:r>
          </w:p>
        </w:tc>
        <w:tc>
          <w:tcPr>
            <w:tcW w:w="5040" w:type="dxa"/>
          </w:tcPr>
          <w:p w14:paraId="127D88CF"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Indicates at the TAS level activity related to non-federal ownership interest or statutory dedication of specifically identified revenues to designated activities.</w:t>
            </w:r>
          </w:p>
        </w:tc>
        <w:tc>
          <w:tcPr>
            <w:tcW w:w="2880" w:type="dxa"/>
          </w:tcPr>
          <w:p w14:paraId="74F624A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 - Dedicated Collection,</w:t>
            </w:r>
          </w:p>
          <w:p w14:paraId="21E8B7AB"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F - Fiduciary,</w:t>
            </w:r>
          </w:p>
          <w:p w14:paraId="77DAD9FC"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U - Undesignated</w:t>
            </w:r>
          </w:p>
        </w:tc>
        <w:tc>
          <w:tcPr>
            <w:tcW w:w="720" w:type="dxa"/>
          </w:tcPr>
          <w:p w14:paraId="21E9819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161D978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SFFAS 27</w:t>
            </w:r>
          </w:p>
        </w:tc>
        <w:tc>
          <w:tcPr>
            <w:tcW w:w="860" w:type="dxa"/>
          </w:tcPr>
          <w:p w14:paraId="084B2B2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6AC0D2A6" w14:textId="77777777" w:rsidTr="002879DE">
        <w:trPr>
          <w:cantSplit/>
        </w:trPr>
        <w:tc>
          <w:tcPr>
            <w:tcW w:w="2160" w:type="dxa"/>
          </w:tcPr>
          <w:p w14:paraId="4AF3EED5"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lastRenderedPageBreak/>
              <w:t>TAS Status Code</w:t>
            </w:r>
          </w:p>
        </w:tc>
        <w:tc>
          <w:tcPr>
            <w:tcW w:w="1440" w:type="dxa"/>
          </w:tcPr>
          <w:p w14:paraId="0B1E4B6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 Status</w:t>
            </w:r>
          </w:p>
        </w:tc>
        <w:tc>
          <w:tcPr>
            <w:tcW w:w="5040" w:type="dxa"/>
          </w:tcPr>
          <w:p w14:paraId="243F891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Expired - </w:t>
            </w:r>
            <w:proofErr w:type="gramStart"/>
            <w:r>
              <w:rPr>
                <w:rFonts w:ascii="TimesNewRoman" w:hAnsi="TimesNewRoman" w:cs="Courier New"/>
                <w:sz w:val="20"/>
              </w:rPr>
              <w:t>time period</w:t>
            </w:r>
            <w:proofErr w:type="gramEnd"/>
            <w:r>
              <w:rPr>
                <w:rFonts w:ascii="TimesNewRoman" w:hAnsi="TimesNewRoman" w:cs="Courier New"/>
                <w:sz w:val="20"/>
              </w:rPr>
              <w:t xml:space="preserve"> the budget authority is no longer available for new obligations but is still available for disbursement.</w:t>
            </w:r>
          </w:p>
          <w:p w14:paraId="347ABC3A" w14:textId="77777777" w:rsidR="002879DE" w:rsidRDefault="002879DE" w:rsidP="0007071C">
            <w:pPr>
              <w:pStyle w:val="PlainText"/>
              <w:keepLines/>
              <w:rPr>
                <w:rFonts w:ascii="TimesNewRoman" w:hAnsi="TimesNewRoman" w:cs="Courier New"/>
                <w:sz w:val="20"/>
              </w:rPr>
            </w:pPr>
          </w:p>
          <w:p w14:paraId="6393CF7D"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Unexpired - </w:t>
            </w:r>
            <w:proofErr w:type="gramStart"/>
            <w:r>
              <w:rPr>
                <w:rFonts w:ascii="TimesNewRoman" w:hAnsi="TimesNewRoman" w:cs="Courier New"/>
                <w:sz w:val="20"/>
              </w:rPr>
              <w:t>time period</w:t>
            </w:r>
            <w:proofErr w:type="gramEnd"/>
            <w:r>
              <w:rPr>
                <w:rFonts w:ascii="TimesNewRoman" w:hAnsi="TimesNewRoman" w:cs="Courier New"/>
                <w:sz w:val="20"/>
              </w:rPr>
              <w:t xml:space="preserve"> the budget authority is available for incurring "new" obligations. Annual budget authority lasts for up to one fiscal year. Multi-year authority lasts for longer periods. No-year authority last indefinitely.</w:t>
            </w:r>
          </w:p>
          <w:p w14:paraId="388BE71F" w14:textId="77777777" w:rsidR="002879DE" w:rsidRDefault="002879DE" w:rsidP="0007071C">
            <w:pPr>
              <w:pStyle w:val="PlainText"/>
              <w:keepLines/>
              <w:rPr>
                <w:rFonts w:ascii="TimesNewRoman" w:hAnsi="TimesNewRoman" w:cs="Courier New"/>
                <w:sz w:val="20"/>
              </w:rPr>
            </w:pPr>
          </w:p>
          <w:p w14:paraId="6A2E5BA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Canceled - </w:t>
            </w:r>
            <w:proofErr w:type="gramStart"/>
            <w:r>
              <w:rPr>
                <w:rFonts w:ascii="TimesNewRoman" w:hAnsi="TimesNewRoman" w:cs="Courier New"/>
                <w:sz w:val="20"/>
              </w:rPr>
              <w:t>time period</w:t>
            </w:r>
            <w:proofErr w:type="gramEnd"/>
            <w:r>
              <w:rPr>
                <w:rFonts w:ascii="TimesNewRoman" w:hAnsi="TimesNewRoman" w:cs="Courier New"/>
                <w:sz w:val="20"/>
              </w:rPr>
              <w:t xml:space="preserve"> after the last expired year, the account is closed, and the balances are canceled. The authority to disburse is canceled and is no longer available for any purpose.</w:t>
            </w:r>
          </w:p>
        </w:tc>
        <w:tc>
          <w:tcPr>
            <w:tcW w:w="2880" w:type="dxa"/>
          </w:tcPr>
          <w:p w14:paraId="0F7E721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C - Canceled,</w:t>
            </w:r>
          </w:p>
          <w:p w14:paraId="00EB3865"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E - Expired,</w:t>
            </w:r>
          </w:p>
          <w:p w14:paraId="5ADF26F9"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U - Unexpired</w:t>
            </w:r>
          </w:p>
        </w:tc>
        <w:tc>
          <w:tcPr>
            <w:tcW w:w="720" w:type="dxa"/>
          </w:tcPr>
          <w:p w14:paraId="3DE705B6"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62D2E19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4F257330"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265E1B69" w14:textId="77777777" w:rsidTr="002879DE">
        <w:trPr>
          <w:cantSplit/>
        </w:trPr>
        <w:tc>
          <w:tcPr>
            <w:tcW w:w="2160" w:type="dxa"/>
          </w:tcPr>
          <w:p w14:paraId="025E1ED3"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 Status Transitioning Code</w:t>
            </w:r>
          </w:p>
        </w:tc>
        <w:tc>
          <w:tcPr>
            <w:tcW w:w="1440" w:type="dxa"/>
          </w:tcPr>
          <w:p w14:paraId="6FD1231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Trans. Code</w:t>
            </w:r>
          </w:p>
        </w:tc>
        <w:tc>
          <w:tcPr>
            <w:tcW w:w="5040" w:type="dxa"/>
          </w:tcPr>
          <w:p w14:paraId="453B6001"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Expiring - Applies to annual and multi-year accounts only. TAS Status Transitioning Flag is set to expiring in period 12 of the ending year of availability. Canceling - Applies to annual and multi-year accounts. For annual and multi-year accounts, the TAS Status Transitioning Flag is set to cancelling in period 12 of the 5th expired year. </w:t>
            </w:r>
          </w:p>
        </w:tc>
        <w:tc>
          <w:tcPr>
            <w:tcW w:w="2880" w:type="dxa"/>
          </w:tcPr>
          <w:p w14:paraId="11DED784"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K - Canceling,</w:t>
            </w:r>
          </w:p>
          <w:p w14:paraId="2CFE8B91"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N - Not applicable,</w:t>
            </w:r>
          </w:p>
          <w:p w14:paraId="3C3CFE6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X - Expiring</w:t>
            </w:r>
          </w:p>
        </w:tc>
        <w:tc>
          <w:tcPr>
            <w:tcW w:w="720" w:type="dxa"/>
          </w:tcPr>
          <w:p w14:paraId="0AF7E51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1/A</w:t>
            </w:r>
          </w:p>
        </w:tc>
        <w:tc>
          <w:tcPr>
            <w:tcW w:w="1300" w:type="dxa"/>
          </w:tcPr>
          <w:p w14:paraId="631CAE5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TFM</w:t>
            </w:r>
          </w:p>
        </w:tc>
        <w:tc>
          <w:tcPr>
            <w:tcW w:w="860" w:type="dxa"/>
          </w:tcPr>
          <w:p w14:paraId="5E5963F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TAS</w:t>
            </w:r>
          </w:p>
        </w:tc>
      </w:tr>
      <w:tr w:rsidR="002879DE" w:rsidRPr="002879DE" w14:paraId="0EF04C2D" w14:textId="77777777" w:rsidTr="002879DE">
        <w:trPr>
          <w:cantSplit/>
        </w:trPr>
        <w:tc>
          <w:tcPr>
            <w:tcW w:w="2160" w:type="dxa"/>
          </w:tcPr>
          <w:p w14:paraId="034E429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Trading Partner Agency Identifier</w:t>
            </w:r>
          </w:p>
        </w:tc>
        <w:tc>
          <w:tcPr>
            <w:tcW w:w="1440" w:type="dxa"/>
          </w:tcPr>
          <w:p w14:paraId="6C5D8494"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Trading Ptnr</w:t>
            </w:r>
          </w:p>
        </w:tc>
        <w:tc>
          <w:tcPr>
            <w:tcW w:w="5040" w:type="dxa"/>
          </w:tcPr>
          <w:p w14:paraId="5AB406EB"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Represents the agency identifier of the other department, agency, or establishment of the U. S. Government involved in transactions with the reporting entity. Required if the Fed/Non-Federal Indicator = F or G.</w:t>
            </w:r>
          </w:p>
        </w:tc>
        <w:tc>
          <w:tcPr>
            <w:tcW w:w="2880" w:type="dxa"/>
          </w:tcPr>
          <w:p w14:paraId="477A5E88"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 Trading Partner (CGAC three-digit department code)</w:t>
            </w:r>
          </w:p>
        </w:tc>
        <w:tc>
          <w:tcPr>
            <w:tcW w:w="720" w:type="dxa"/>
          </w:tcPr>
          <w:p w14:paraId="3C89563B"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3/N</w:t>
            </w:r>
          </w:p>
        </w:tc>
        <w:tc>
          <w:tcPr>
            <w:tcW w:w="1300" w:type="dxa"/>
          </w:tcPr>
          <w:p w14:paraId="7BBDF29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FAST Book, OMB Circ, No. A-11</w:t>
            </w:r>
          </w:p>
        </w:tc>
        <w:tc>
          <w:tcPr>
            <w:tcW w:w="860" w:type="dxa"/>
          </w:tcPr>
          <w:p w14:paraId="410F9C69"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0A7B3746" w14:textId="77777777" w:rsidTr="002879DE">
        <w:trPr>
          <w:cantSplit/>
        </w:trPr>
        <w:tc>
          <w:tcPr>
            <w:tcW w:w="2160" w:type="dxa"/>
          </w:tcPr>
          <w:p w14:paraId="33A720A2"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Trading Partner Main Account Code</w:t>
            </w:r>
          </w:p>
        </w:tc>
        <w:tc>
          <w:tcPr>
            <w:tcW w:w="1440" w:type="dxa"/>
          </w:tcPr>
          <w:p w14:paraId="2D9BA8D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Trading Ptnr Main</w:t>
            </w:r>
          </w:p>
        </w:tc>
        <w:tc>
          <w:tcPr>
            <w:tcW w:w="5040" w:type="dxa"/>
          </w:tcPr>
          <w:p w14:paraId="47AA0119"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Represents the treasury main account code of the other department, agency, or establishment of the U. S. Government involved in transactions with the reporting entity. Required if the Fed/Non-Federal Indicator = F.</w:t>
            </w:r>
          </w:p>
        </w:tc>
        <w:tc>
          <w:tcPr>
            <w:tcW w:w="2880" w:type="dxa"/>
          </w:tcPr>
          <w:p w14:paraId="5FF8FB9D"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 xml:space="preserve">     - Blank is Acceptable,</w:t>
            </w:r>
          </w:p>
          <w:p w14:paraId="6DD9A693"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 - Trading Partner Account (Must be a valid main account for the trading partner.)</w:t>
            </w:r>
          </w:p>
        </w:tc>
        <w:tc>
          <w:tcPr>
            <w:tcW w:w="720" w:type="dxa"/>
          </w:tcPr>
          <w:p w14:paraId="51D84EDC"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4/N</w:t>
            </w:r>
          </w:p>
        </w:tc>
        <w:tc>
          <w:tcPr>
            <w:tcW w:w="1300" w:type="dxa"/>
          </w:tcPr>
          <w:p w14:paraId="725638B1"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FAST Book</w:t>
            </w:r>
          </w:p>
        </w:tc>
        <w:tc>
          <w:tcPr>
            <w:tcW w:w="860" w:type="dxa"/>
          </w:tcPr>
          <w:p w14:paraId="70C9D848"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73F30B08" w14:textId="77777777" w:rsidTr="002879DE">
        <w:trPr>
          <w:cantSplit/>
        </w:trPr>
        <w:tc>
          <w:tcPr>
            <w:tcW w:w="2160" w:type="dxa"/>
          </w:tcPr>
          <w:p w14:paraId="3404284F"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Year of Budget Authority Indicator</w:t>
            </w:r>
          </w:p>
        </w:tc>
        <w:tc>
          <w:tcPr>
            <w:tcW w:w="1440" w:type="dxa"/>
          </w:tcPr>
          <w:p w14:paraId="1E8B3B2A"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Year of BA</w:t>
            </w:r>
          </w:p>
        </w:tc>
        <w:tc>
          <w:tcPr>
            <w:tcW w:w="5040" w:type="dxa"/>
          </w:tcPr>
          <w:p w14:paraId="5E697347"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Identifies whether outlays are from the new budget authority (NEW) or from budget authority carried forward from the prior year (BAL). Used for expenditure TAS that are not credit financing TAS.</w:t>
            </w:r>
          </w:p>
        </w:tc>
        <w:tc>
          <w:tcPr>
            <w:tcW w:w="2880" w:type="dxa"/>
          </w:tcPr>
          <w:p w14:paraId="0E784D67" w14:textId="77777777" w:rsidR="002879DE" w:rsidRDefault="002879DE" w:rsidP="0007071C">
            <w:pPr>
              <w:pStyle w:val="PlainText"/>
              <w:keepLines/>
              <w:rPr>
                <w:rFonts w:ascii="TimesNewRoman" w:hAnsi="TimesNewRoman" w:cs="Courier New"/>
                <w:sz w:val="20"/>
              </w:rPr>
            </w:pPr>
            <w:r>
              <w:rPr>
                <w:rFonts w:ascii="TimesNewRoman" w:hAnsi="TimesNewRoman" w:cs="Courier New"/>
                <w:sz w:val="20"/>
              </w:rPr>
              <w:t>BAL - Outlays from balances brought forward,</w:t>
            </w:r>
          </w:p>
          <w:p w14:paraId="383E1D65" w14:textId="77777777" w:rsidR="002879DE" w:rsidRPr="002879DE" w:rsidRDefault="002879DE" w:rsidP="0007071C">
            <w:pPr>
              <w:pStyle w:val="PlainText"/>
              <w:keepLines/>
              <w:rPr>
                <w:rFonts w:ascii="TimesNewRoman" w:hAnsi="TimesNewRoman" w:cs="Courier New"/>
                <w:sz w:val="20"/>
              </w:rPr>
            </w:pPr>
            <w:r>
              <w:rPr>
                <w:rFonts w:ascii="TimesNewRoman" w:hAnsi="TimesNewRoman" w:cs="Courier New"/>
                <w:sz w:val="20"/>
              </w:rPr>
              <w:t>NEW - Outlays from new budget authority</w:t>
            </w:r>
          </w:p>
        </w:tc>
        <w:tc>
          <w:tcPr>
            <w:tcW w:w="720" w:type="dxa"/>
          </w:tcPr>
          <w:p w14:paraId="41FA6F47"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3/A</w:t>
            </w:r>
          </w:p>
        </w:tc>
        <w:tc>
          <w:tcPr>
            <w:tcW w:w="1300" w:type="dxa"/>
          </w:tcPr>
          <w:p w14:paraId="3F8BCA7D"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OMB Circ. No. A-11</w:t>
            </w:r>
          </w:p>
        </w:tc>
        <w:tc>
          <w:tcPr>
            <w:tcW w:w="860" w:type="dxa"/>
          </w:tcPr>
          <w:p w14:paraId="70E3F320" w14:textId="77777777" w:rsidR="002879DE" w:rsidRPr="002879DE" w:rsidRDefault="002879DE" w:rsidP="0007071C">
            <w:pPr>
              <w:pStyle w:val="PlainText"/>
              <w:keepLines/>
              <w:rPr>
                <w:rFonts w:ascii="TimesNewRoman" w:hAnsi="TimesNewRoman" w:cs="Courier New"/>
                <w:sz w:val="20"/>
              </w:rPr>
            </w:pPr>
            <w:r w:rsidRPr="002879DE">
              <w:rPr>
                <w:rFonts w:ascii="TimesNewRoman" w:hAnsi="TimesNewRoman" w:cs="Courier New"/>
                <w:sz w:val="20"/>
              </w:rPr>
              <w:t>Bulk File</w:t>
            </w:r>
          </w:p>
        </w:tc>
      </w:tr>
      <w:tr w:rsidR="002879DE" w:rsidRPr="002879DE" w14:paraId="09EA6DBB" w14:textId="77777777" w:rsidTr="002879DE">
        <w:trPr>
          <w:cantSplit/>
        </w:trPr>
        <w:tc>
          <w:tcPr>
            <w:tcW w:w="2160" w:type="dxa"/>
          </w:tcPr>
          <w:p w14:paraId="4DFB2E36" w14:textId="77777777" w:rsidR="002879DE" w:rsidRPr="002879DE" w:rsidRDefault="002879DE" w:rsidP="0007071C">
            <w:pPr>
              <w:pStyle w:val="PlainText"/>
              <w:keepLines/>
              <w:rPr>
                <w:rFonts w:ascii="TimesNewRoman" w:hAnsi="TimesNewRoman" w:cs="Courier New"/>
                <w:sz w:val="20"/>
              </w:rPr>
            </w:pPr>
          </w:p>
        </w:tc>
        <w:tc>
          <w:tcPr>
            <w:tcW w:w="1440" w:type="dxa"/>
          </w:tcPr>
          <w:p w14:paraId="3828B4A5" w14:textId="77777777" w:rsidR="002879DE" w:rsidRPr="002879DE" w:rsidRDefault="002879DE" w:rsidP="0007071C">
            <w:pPr>
              <w:pStyle w:val="PlainText"/>
              <w:keepLines/>
              <w:rPr>
                <w:rFonts w:ascii="TimesNewRoman" w:hAnsi="TimesNewRoman" w:cs="Courier New"/>
                <w:sz w:val="20"/>
              </w:rPr>
            </w:pPr>
          </w:p>
        </w:tc>
        <w:tc>
          <w:tcPr>
            <w:tcW w:w="5040" w:type="dxa"/>
          </w:tcPr>
          <w:p w14:paraId="0CA6EE6B" w14:textId="77777777" w:rsidR="002879DE" w:rsidRPr="002879DE" w:rsidRDefault="002879DE" w:rsidP="0007071C">
            <w:pPr>
              <w:pStyle w:val="PlainText"/>
              <w:keepLines/>
              <w:rPr>
                <w:rFonts w:ascii="TimesNewRoman" w:hAnsi="TimesNewRoman" w:cs="Courier New"/>
                <w:sz w:val="20"/>
              </w:rPr>
            </w:pPr>
          </w:p>
        </w:tc>
        <w:tc>
          <w:tcPr>
            <w:tcW w:w="2880" w:type="dxa"/>
          </w:tcPr>
          <w:p w14:paraId="7B15357E" w14:textId="77777777" w:rsidR="002879DE" w:rsidRPr="002879DE" w:rsidRDefault="002879DE" w:rsidP="0007071C">
            <w:pPr>
              <w:pStyle w:val="PlainText"/>
              <w:keepLines/>
              <w:rPr>
                <w:rFonts w:ascii="TimesNewRoman" w:hAnsi="TimesNewRoman" w:cs="Courier New"/>
                <w:sz w:val="20"/>
              </w:rPr>
            </w:pPr>
          </w:p>
        </w:tc>
        <w:tc>
          <w:tcPr>
            <w:tcW w:w="720" w:type="dxa"/>
          </w:tcPr>
          <w:p w14:paraId="77B20C92" w14:textId="77777777" w:rsidR="002879DE" w:rsidRPr="002879DE" w:rsidRDefault="002879DE" w:rsidP="0007071C">
            <w:pPr>
              <w:pStyle w:val="PlainText"/>
              <w:keepLines/>
              <w:rPr>
                <w:rFonts w:ascii="TimesNewRoman" w:hAnsi="TimesNewRoman" w:cs="Courier New"/>
                <w:sz w:val="20"/>
              </w:rPr>
            </w:pPr>
          </w:p>
        </w:tc>
        <w:tc>
          <w:tcPr>
            <w:tcW w:w="1300" w:type="dxa"/>
          </w:tcPr>
          <w:p w14:paraId="0499292A" w14:textId="77777777" w:rsidR="002879DE" w:rsidRPr="002879DE" w:rsidRDefault="002879DE" w:rsidP="0007071C">
            <w:pPr>
              <w:pStyle w:val="PlainText"/>
              <w:keepLines/>
              <w:rPr>
                <w:rFonts w:ascii="TimesNewRoman" w:hAnsi="TimesNewRoman" w:cs="Courier New"/>
                <w:sz w:val="20"/>
              </w:rPr>
            </w:pPr>
          </w:p>
        </w:tc>
        <w:tc>
          <w:tcPr>
            <w:tcW w:w="860" w:type="dxa"/>
          </w:tcPr>
          <w:p w14:paraId="02CCE7EF" w14:textId="77777777" w:rsidR="002879DE" w:rsidRPr="002879DE" w:rsidRDefault="002879DE" w:rsidP="0007071C">
            <w:pPr>
              <w:pStyle w:val="PlainText"/>
              <w:keepLines/>
              <w:rPr>
                <w:rFonts w:ascii="TimesNewRoman" w:hAnsi="TimesNewRoman" w:cs="Courier New"/>
                <w:sz w:val="20"/>
              </w:rPr>
            </w:pPr>
          </w:p>
        </w:tc>
      </w:tr>
    </w:tbl>
    <w:p w14:paraId="0180515E" w14:textId="77777777" w:rsidR="00DA4E84" w:rsidRPr="002879DE" w:rsidRDefault="00DA4E84" w:rsidP="002879DE">
      <w:pPr>
        <w:keepLines/>
        <w:tabs>
          <w:tab w:val="left" w:pos="2160"/>
          <w:tab w:val="left" w:pos="3600"/>
          <w:tab w:val="left" w:pos="8640"/>
          <w:tab w:val="left" w:pos="11520"/>
          <w:tab w:val="left" w:pos="12240"/>
          <w:tab w:val="left" w:pos="13540"/>
        </w:tabs>
        <w:rPr>
          <w:rFonts w:ascii="TimesNewRoman" w:hAnsi="TimesNewRoman"/>
          <w:sz w:val="20"/>
        </w:rPr>
      </w:pPr>
    </w:p>
    <w:sectPr w:rsidR="00DA4E84" w:rsidRPr="002879DE" w:rsidSect="00B56E56">
      <w:headerReference w:type="default" r:id="rId10"/>
      <w:footerReference w:type="default" r:id="rId11"/>
      <w:pgSz w:w="15840" w:h="12240" w:orient="landscape"/>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8232" w14:textId="77777777" w:rsidR="009808C8" w:rsidRDefault="009808C8" w:rsidP="00403DC6">
      <w:r>
        <w:separator/>
      </w:r>
    </w:p>
  </w:endnote>
  <w:endnote w:type="continuationSeparator" w:id="0">
    <w:p w14:paraId="4DC9E408" w14:textId="77777777" w:rsidR="009808C8" w:rsidRDefault="009808C8" w:rsidP="0040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4" w:type="dxa"/>
        <w:right w:w="14" w:type="dxa"/>
      </w:tblCellMar>
      <w:tblLook w:val="04A0" w:firstRow="1" w:lastRow="0" w:firstColumn="1" w:lastColumn="0" w:noHBand="0" w:noVBand="1"/>
    </w:tblPr>
    <w:tblGrid>
      <w:gridCol w:w="4314"/>
      <w:gridCol w:w="6063"/>
      <w:gridCol w:w="4051"/>
    </w:tblGrid>
    <w:tr w:rsidR="004F4A07" w:rsidRPr="00B922E1" w14:paraId="3716825D" w14:textId="77777777" w:rsidTr="00902FEE">
      <w:trPr>
        <w:trHeight w:val="252"/>
      </w:trPr>
      <w:tc>
        <w:tcPr>
          <w:tcW w:w="1495" w:type="pct"/>
          <w:shd w:val="clear" w:color="auto" w:fill="auto"/>
          <w:vAlign w:val="center"/>
        </w:tcPr>
        <w:p w14:paraId="53E088A2" w14:textId="2BB6525D" w:rsidR="004F4A07" w:rsidRPr="00B922E1" w:rsidRDefault="004C402F" w:rsidP="00902FEE">
          <w:pPr>
            <w:tabs>
              <w:tab w:val="center" w:pos="1152"/>
              <w:tab w:val="center" w:pos="792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Bulletin No. 2026-02 </w:t>
          </w:r>
          <w:r w:rsidRPr="004C402F">
            <w:rPr>
              <w:rFonts w:ascii="Times New Roman" w:eastAsia="Calibri" w:hAnsi="Times New Roman" w:cs="Times New Roman"/>
              <w:b/>
              <w:color w:val="FF0000"/>
              <w:sz w:val="24"/>
              <w:szCs w:val="24"/>
            </w:rPr>
            <w:t>DRAFT</w:t>
          </w:r>
        </w:p>
      </w:tc>
      <w:tc>
        <w:tcPr>
          <w:tcW w:w="2101" w:type="pct"/>
          <w:shd w:val="clear" w:color="auto" w:fill="auto"/>
          <w:vAlign w:val="center"/>
        </w:tcPr>
        <w:p w14:paraId="67E68BC3" w14:textId="77777777" w:rsidR="004F4A07" w:rsidRPr="00B922E1" w:rsidRDefault="004F4A07" w:rsidP="00902FEE">
          <w:pPr>
            <w:tabs>
              <w:tab w:val="center" w:pos="1152"/>
              <w:tab w:val="center" w:pos="7920"/>
            </w:tabs>
            <w:jc w:val="center"/>
            <w:rPr>
              <w:rFonts w:ascii="Times New Roman" w:eastAsia="Calibri" w:hAnsi="Times New Roman" w:cs="Times New Roman"/>
              <w:b/>
              <w:sz w:val="24"/>
              <w:szCs w:val="24"/>
            </w:rPr>
          </w:pPr>
          <w:r>
            <w:rPr>
              <w:rFonts w:ascii="Arial" w:eastAsia="Calibri" w:hAnsi="Arial" w:cs="Times New Roman"/>
              <w:b/>
              <w:sz w:val="20"/>
            </w:rPr>
            <w:t>IV ADR</w:t>
          </w:r>
          <w:r w:rsidRPr="00B922E1">
            <w:rPr>
              <w:rFonts w:ascii="Arial" w:eastAsia="Calibri" w:hAnsi="Arial" w:cs="Times New Roman"/>
              <w:b/>
              <w:sz w:val="20"/>
            </w:rPr>
            <w:t xml:space="preserve"> - </w:t>
          </w:r>
          <w:r w:rsidRPr="00B922E1">
            <w:rPr>
              <w:rFonts w:ascii="Arial" w:eastAsia="Calibri" w:hAnsi="Arial" w:cs="Times New Roman"/>
              <w:b/>
              <w:sz w:val="20"/>
            </w:rPr>
            <w:fldChar w:fldCharType="begin"/>
          </w:r>
          <w:r w:rsidRPr="00B922E1">
            <w:rPr>
              <w:rFonts w:ascii="Arial" w:eastAsia="Calibri" w:hAnsi="Arial" w:cs="Times New Roman"/>
              <w:b/>
              <w:sz w:val="20"/>
            </w:rPr>
            <w:instrText xml:space="preserve"> PAGE  \* Arabic  \* MERGEFORMAT </w:instrText>
          </w:r>
          <w:r w:rsidRPr="00B922E1">
            <w:rPr>
              <w:rFonts w:ascii="Arial" w:eastAsia="Calibri" w:hAnsi="Arial" w:cs="Times New Roman"/>
              <w:b/>
              <w:sz w:val="20"/>
            </w:rPr>
            <w:fldChar w:fldCharType="separate"/>
          </w:r>
          <w:r w:rsidR="00537B55">
            <w:rPr>
              <w:rFonts w:ascii="Arial" w:eastAsia="Calibri" w:hAnsi="Arial" w:cs="Times New Roman"/>
              <w:b/>
              <w:noProof/>
              <w:sz w:val="20"/>
            </w:rPr>
            <w:t>1</w:t>
          </w:r>
          <w:r w:rsidRPr="00B922E1">
            <w:rPr>
              <w:rFonts w:ascii="Arial" w:eastAsia="Calibri" w:hAnsi="Arial" w:cs="Times New Roman"/>
              <w:b/>
              <w:sz w:val="20"/>
            </w:rPr>
            <w:fldChar w:fldCharType="end"/>
          </w:r>
        </w:p>
      </w:tc>
      <w:tc>
        <w:tcPr>
          <w:tcW w:w="1404" w:type="pct"/>
          <w:shd w:val="clear" w:color="auto" w:fill="auto"/>
          <w:vAlign w:val="center"/>
        </w:tcPr>
        <w:p w14:paraId="128C9AAC" w14:textId="5AA5C5CF" w:rsidR="004F4A07" w:rsidRPr="00B922E1" w:rsidRDefault="004C402F" w:rsidP="00902FEE">
          <w:pPr>
            <w:tabs>
              <w:tab w:val="center" w:pos="1152"/>
              <w:tab w:val="center" w:pos="7920"/>
            </w:tabs>
            <w:jc w:val="right"/>
            <w:rPr>
              <w:rFonts w:ascii="Times New Roman" w:eastAsia="Calibri" w:hAnsi="Times New Roman" w:cs="Times New Roman"/>
              <w:b/>
              <w:sz w:val="24"/>
              <w:szCs w:val="24"/>
            </w:rPr>
          </w:pPr>
          <w:r>
            <w:rPr>
              <w:rFonts w:ascii="Arial" w:eastAsia="Calibri" w:hAnsi="Arial" w:cs="Times New Roman"/>
              <w:b/>
              <w:sz w:val="20"/>
            </w:rPr>
            <w:t>IRC Handout January 14, 2026</w:t>
          </w:r>
        </w:p>
      </w:tc>
    </w:tr>
  </w:tbl>
  <w:p w14:paraId="7594075E" w14:textId="77777777" w:rsidR="004F4A07" w:rsidRPr="00B922E1" w:rsidRDefault="004F4A07" w:rsidP="004F4A07">
    <w:pPr>
      <w:pStyle w:val="Footer"/>
      <w:spacing w:line="80" w:lineRule="exact"/>
      <w:rPr>
        <w:rFonts w:ascii="Arial" w:hAnsi="Arial"/>
        <w:sz w:val="16"/>
      </w:rPr>
    </w:pPr>
  </w:p>
  <w:p w14:paraId="4AEB9C55" w14:textId="77777777" w:rsidR="00CF70C5" w:rsidRPr="004F4A07" w:rsidRDefault="00CF70C5" w:rsidP="004F4A07">
    <w:pPr>
      <w:pStyle w:val="Footer"/>
      <w:spacing w:line="60" w:lineRule="exact"/>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1829" w14:textId="77777777" w:rsidR="009808C8" w:rsidRDefault="009808C8" w:rsidP="00403DC6">
      <w:r>
        <w:separator/>
      </w:r>
    </w:p>
  </w:footnote>
  <w:footnote w:type="continuationSeparator" w:id="0">
    <w:p w14:paraId="1DE84A93" w14:textId="77777777" w:rsidR="009808C8" w:rsidRDefault="009808C8" w:rsidP="0040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CellMar>
        <w:left w:w="29" w:type="dxa"/>
        <w:right w:w="29" w:type="dxa"/>
      </w:tblCellMar>
      <w:tblLook w:val="04A0" w:firstRow="1" w:lastRow="0" w:firstColumn="1" w:lastColumn="0" w:noHBand="0" w:noVBand="1"/>
    </w:tblPr>
    <w:tblGrid>
      <w:gridCol w:w="3801"/>
      <w:gridCol w:w="6823"/>
      <w:gridCol w:w="3776"/>
    </w:tblGrid>
    <w:tr w:rsidR="001C3A72" w:rsidRPr="00B922E1" w14:paraId="2395A284" w14:textId="77777777" w:rsidTr="00B56E56">
      <w:trPr>
        <w:trHeight w:hRule="exact" w:val="288"/>
      </w:trPr>
      <w:tc>
        <w:tcPr>
          <w:tcW w:w="1320" w:type="pct"/>
          <w:shd w:val="clear" w:color="auto" w:fill="auto"/>
          <w:vAlign w:val="center"/>
        </w:tcPr>
        <w:p w14:paraId="79877E39" w14:textId="357D3346" w:rsidR="002879DE" w:rsidRPr="00D45300" w:rsidRDefault="002879DE" w:rsidP="00902FEE">
          <w:pPr>
            <w:tabs>
              <w:tab w:val="center" w:pos="1152"/>
              <w:tab w:val="center" w:pos="7920"/>
            </w:tabs>
            <w:rPr>
              <w:rFonts w:ascii="Arial" w:eastAsia="Calibri" w:hAnsi="Arial" w:cs="Arial"/>
              <w:b/>
              <w:color w:val="FF0000"/>
              <w:sz w:val="20"/>
              <w:szCs w:val="20"/>
            </w:rPr>
          </w:pPr>
          <w:r>
            <w:rPr>
              <w:rFonts w:ascii="Arial" w:eastAsia="Calibri" w:hAnsi="Arial" w:cs="Arial"/>
              <w:b/>
              <w:sz w:val="20"/>
              <w:szCs w:val="20"/>
            </w:rPr>
            <w:t>Part 2</w:t>
          </w:r>
          <w:r w:rsidR="00D45300">
            <w:rPr>
              <w:rFonts w:ascii="Arial" w:eastAsia="Calibri" w:hAnsi="Arial" w:cs="Arial"/>
              <w:b/>
              <w:sz w:val="20"/>
              <w:szCs w:val="20"/>
            </w:rPr>
            <w:t xml:space="preserve"> </w:t>
          </w:r>
          <w:r w:rsidR="00D45300" w:rsidRPr="00D45300">
            <w:rPr>
              <w:rFonts w:ascii="Arial" w:eastAsia="Calibri" w:hAnsi="Arial" w:cs="Arial"/>
              <w:b/>
              <w:color w:val="FF0000"/>
              <w:sz w:val="20"/>
              <w:szCs w:val="20"/>
            </w:rPr>
            <w:t>DRAFT</w:t>
          </w:r>
        </w:p>
        <w:p w14:paraId="5E023E2D" w14:textId="77777777" w:rsidR="001C3A72" w:rsidRPr="00B922E1" w:rsidRDefault="001C3A72" w:rsidP="00902FEE">
          <w:pPr>
            <w:tabs>
              <w:tab w:val="center" w:pos="1152"/>
              <w:tab w:val="center" w:pos="7920"/>
            </w:tabs>
            <w:rPr>
              <w:rFonts w:ascii="Arial" w:eastAsia="Calibri" w:hAnsi="Arial" w:cs="Arial"/>
              <w:b/>
              <w:sz w:val="20"/>
              <w:szCs w:val="20"/>
            </w:rPr>
          </w:pPr>
        </w:p>
      </w:tc>
      <w:tc>
        <w:tcPr>
          <w:tcW w:w="2369" w:type="pct"/>
          <w:shd w:val="clear" w:color="auto" w:fill="auto"/>
          <w:vAlign w:val="center"/>
        </w:tcPr>
        <w:p w14:paraId="17183844" w14:textId="77777777" w:rsidR="001C3A72" w:rsidRPr="00B922E1" w:rsidRDefault="001C3A72" w:rsidP="00902FEE">
          <w:pPr>
            <w:tabs>
              <w:tab w:val="center" w:pos="1152"/>
              <w:tab w:val="center" w:pos="7920"/>
            </w:tabs>
            <w:rPr>
              <w:rFonts w:ascii="Arial" w:eastAsia="Calibri" w:hAnsi="Arial" w:cs="Arial"/>
              <w:b/>
              <w:sz w:val="20"/>
              <w:szCs w:val="20"/>
            </w:rPr>
          </w:pPr>
        </w:p>
      </w:tc>
      <w:tc>
        <w:tcPr>
          <w:tcW w:w="1311" w:type="pct"/>
          <w:shd w:val="clear" w:color="auto" w:fill="auto"/>
          <w:vAlign w:val="center"/>
        </w:tcPr>
        <w:p w14:paraId="17333C1B" w14:textId="77777777" w:rsidR="001C3A72" w:rsidRPr="00B922E1" w:rsidRDefault="002879DE" w:rsidP="00902FEE">
          <w:pPr>
            <w:tabs>
              <w:tab w:val="center" w:pos="1152"/>
              <w:tab w:val="center" w:pos="7920"/>
            </w:tabs>
            <w:jc w:val="right"/>
            <w:rPr>
              <w:rFonts w:ascii="Arial" w:eastAsia="Calibri" w:hAnsi="Arial" w:cs="Arial"/>
              <w:b/>
              <w:sz w:val="20"/>
              <w:szCs w:val="20"/>
            </w:rPr>
          </w:pPr>
          <w:r>
            <w:rPr>
              <w:rFonts w:ascii="Arial" w:eastAsia="Calibri" w:hAnsi="Arial" w:cs="Arial"/>
              <w:b/>
              <w:sz w:val="20"/>
              <w:szCs w:val="20"/>
            </w:rPr>
            <w:t>Fiscal Year 2027 Reporting</w:t>
          </w:r>
        </w:p>
      </w:tc>
    </w:tr>
    <w:tr w:rsidR="001C3A72" w:rsidRPr="00B922E1" w14:paraId="44DA30AF" w14:textId="77777777" w:rsidTr="00B56E56">
      <w:trPr>
        <w:trHeight w:hRule="exact" w:val="331"/>
      </w:trPr>
      <w:tc>
        <w:tcPr>
          <w:tcW w:w="1320" w:type="pct"/>
          <w:shd w:val="clear" w:color="auto" w:fill="auto"/>
          <w:vAlign w:val="bottom"/>
        </w:tcPr>
        <w:p w14:paraId="3E88591A" w14:textId="77777777" w:rsidR="001C3A72" w:rsidRPr="00B922E1" w:rsidRDefault="001C3A72" w:rsidP="00902FEE">
          <w:pPr>
            <w:tabs>
              <w:tab w:val="center" w:pos="1152"/>
              <w:tab w:val="center" w:pos="7920"/>
            </w:tabs>
            <w:rPr>
              <w:rFonts w:ascii="Arial" w:eastAsia="Calibri" w:hAnsi="Arial" w:cs="Arial"/>
              <w:b/>
              <w:sz w:val="20"/>
              <w:szCs w:val="20"/>
            </w:rPr>
          </w:pPr>
          <w:r>
            <w:rPr>
              <w:rFonts w:ascii="Arial" w:eastAsia="Calibri" w:hAnsi="Arial" w:cs="Arial"/>
              <w:b/>
              <w:sz w:val="20"/>
              <w:szCs w:val="20"/>
            </w:rPr>
            <w:t>SUPPLEMENT</w:t>
          </w:r>
        </w:p>
      </w:tc>
      <w:tc>
        <w:tcPr>
          <w:tcW w:w="2369" w:type="pct"/>
          <w:shd w:val="clear" w:color="auto" w:fill="auto"/>
          <w:vAlign w:val="bottom"/>
        </w:tcPr>
        <w:p w14:paraId="0FCF084D" w14:textId="77777777" w:rsidR="001C3A72" w:rsidRPr="00B922E1" w:rsidRDefault="001C3A72" w:rsidP="00902FEE">
          <w:pPr>
            <w:tabs>
              <w:tab w:val="center" w:pos="1152"/>
              <w:tab w:val="center" w:pos="7920"/>
            </w:tabs>
            <w:jc w:val="center"/>
            <w:rPr>
              <w:rFonts w:ascii="Arial" w:eastAsia="Calibri" w:hAnsi="Arial" w:cs="Arial"/>
              <w:b/>
              <w:sz w:val="20"/>
              <w:szCs w:val="20"/>
            </w:rPr>
          </w:pPr>
        </w:p>
      </w:tc>
      <w:tc>
        <w:tcPr>
          <w:tcW w:w="1311" w:type="pct"/>
          <w:shd w:val="clear" w:color="auto" w:fill="auto"/>
          <w:vAlign w:val="bottom"/>
        </w:tcPr>
        <w:p w14:paraId="147E1AE3" w14:textId="77777777" w:rsidR="001C3A72" w:rsidRPr="00B922E1" w:rsidRDefault="001C3A72" w:rsidP="00902FEE">
          <w:pPr>
            <w:tabs>
              <w:tab w:val="center" w:pos="1152"/>
              <w:tab w:val="center" w:pos="7920"/>
            </w:tabs>
            <w:jc w:val="right"/>
            <w:rPr>
              <w:rFonts w:ascii="Arial" w:eastAsia="Calibri" w:hAnsi="Arial" w:cs="Arial"/>
              <w:b/>
              <w:sz w:val="20"/>
              <w:szCs w:val="20"/>
            </w:rPr>
          </w:pPr>
          <w:r>
            <w:rPr>
              <w:rFonts w:ascii="Arial" w:eastAsia="Calibri" w:hAnsi="Arial" w:cs="Arial"/>
              <w:b/>
              <w:sz w:val="20"/>
              <w:szCs w:val="20"/>
            </w:rPr>
            <w:t xml:space="preserve">Section </w:t>
          </w:r>
          <w:r w:rsidR="00CA798D">
            <w:rPr>
              <w:rFonts w:ascii="Arial" w:eastAsia="Calibri" w:hAnsi="Arial" w:cs="Arial"/>
              <w:b/>
              <w:sz w:val="20"/>
              <w:szCs w:val="20"/>
            </w:rPr>
            <w:t>I</w:t>
          </w:r>
          <w:r w:rsidR="00403BBC">
            <w:rPr>
              <w:rFonts w:ascii="Arial" w:eastAsia="Calibri" w:hAnsi="Arial" w:cs="Arial"/>
              <w:b/>
              <w:sz w:val="20"/>
              <w:szCs w:val="20"/>
            </w:rPr>
            <w:t>V</w:t>
          </w:r>
        </w:p>
      </w:tc>
    </w:tr>
    <w:tr w:rsidR="001C3A72" w:rsidRPr="00B922E1" w14:paraId="3AA6A242" w14:textId="77777777" w:rsidTr="00B56E56">
      <w:trPr>
        <w:trHeight w:hRule="exact" w:val="288"/>
      </w:trPr>
      <w:tc>
        <w:tcPr>
          <w:tcW w:w="5000" w:type="pct"/>
          <w:gridSpan w:val="3"/>
          <w:shd w:val="clear" w:color="auto" w:fill="auto"/>
          <w:vAlign w:val="center"/>
        </w:tcPr>
        <w:p w14:paraId="018A8896" w14:textId="77777777" w:rsidR="001C3A72" w:rsidRPr="00B922E1" w:rsidRDefault="001C3A72" w:rsidP="00902FEE">
          <w:pPr>
            <w:tabs>
              <w:tab w:val="center" w:pos="1152"/>
              <w:tab w:val="center" w:pos="7920"/>
            </w:tabs>
            <w:jc w:val="center"/>
            <w:rPr>
              <w:rFonts w:ascii="Arial" w:eastAsia="Calibri" w:hAnsi="Arial" w:cs="Arial"/>
              <w:b/>
              <w:sz w:val="20"/>
              <w:szCs w:val="20"/>
            </w:rPr>
          </w:pPr>
          <w:r>
            <w:rPr>
              <w:rFonts w:ascii="Arial" w:eastAsia="Calibri" w:hAnsi="Arial" w:cs="Arial"/>
              <w:b/>
              <w:sz w:val="20"/>
              <w:szCs w:val="20"/>
            </w:rPr>
            <w:t>U.S. Standard General Ledger – Account Attribute Definition Report</w:t>
          </w:r>
        </w:p>
      </w:tc>
    </w:tr>
  </w:tbl>
  <w:tbl>
    <w:tblPr>
      <w:tblStyle w:val="TableGrid"/>
      <w:tblW w:w="14400" w:type="dxa"/>
      <w:shd w:val="clear" w:color="auto" w:fill="EEECE1" w:themeFill="background2"/>
      <w:tblLayout w:type="fixed"/>
      <w:tblCellMar>
        <w:left w:w="29" w:type="dxa"/>
        <w:right w:w="29" w:type="dxa"/>
      </w:tblCellMar>
      <w:tblLook w:val="04A0" w:firstRow="1" w:lastRow="0" w:firstColumn="1" w:lastColumn="0" w:noHBand="0" w:noVBand="1"/>
    </w:tblPr>
    <w:tblGrid>
      <w:gridCol w:w="2161"/>
      <w:gridCol w:w="1440"/>
      <w:gridCol w:w="5042"/>
      <w:gridCol w:w="2881"/>
      <w:gridCol w:w="721"/>
      <w:gridCol w:w="1293"/>
      <w:gridCol w:w="862"/>
    </w:tblGrid>
    <w:tr w:rsidR="00CF70C5" w:rsidRPr="003C088B" w14:paraId="700EB4F6" w14:textId="77777777" w:rsidTr="00733544">
      <w:trPr>
        <w:trHeight w:val="541"/>
      </w:trPr>
      <w:tc>
        <w:tcPr>
          <w:tcW w:w="2165" w:type="dxa"/>
          <w:shd w:val="clear" w:color="auto" w:fill="EEECE1" w:themeFill="background2"/>
          <w:vAlign w:val="center"/>
        </w:tcPr>
        <w:p w14:paraId="25AB878F"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Attribute Name</w:t>
          </w:r>
        </w:p>
      </w:tc>
      <w:tc>
        <w:tcPr>
          <w:tcW w:w="1443" w:type="dxa"/>
          <w:shd w:val="clear" w:color="auto" w:fill="EEECE1" w:themeFill="background2"/>
          <w:vAlign w:val="center"/>
        </w:tcPr>
        <w:p w14:paraId="407C4620"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Short</w:t>
          </w:r>
        </w:p>
        <w:p w14:paraId="7A9B16E8"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Name</w:t>
          </w:r>
        </w:p>
      </w:tc>
      <w:tc>
        <w:tcPr>
          <w:tcW w:w="5052" w:type="dxa"/>
          <w:shd w:val="clear" w:color="auto" w:fill="EEECE1" w:themeFill="background2"/>
          <w:vAlign w:val="center"/>
        </w:tcPr>
        <w:p w14:paraId="2ACAC7F4"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Attribute Definition</w:t>
          </w:r>
        </w:p>
      </w:tc>
      <w:tc>
        <w:tcPr>
          <w:tcW w:w="2887" w:type="dxa"/>
          <w:shd w:val="clear" w:color="auto" w:fill="EEECE1" w:themeFill="background2"/>
          <w:vAlign w:val="center"/>
        </w:tcPr>
        <w:p w14:paraId="4065B747"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Domain</w:t>
          </w:r>
        </w:p>
      </w:tc>
      <w:tc>
        <w:tcPr>
          <w:tcW w:w="722" w:type="dxa"/>
          <w:shd w:val="clear" w:color="auto" w:fill="EEECE1" w:themeFill="background2"/>
          <w:vAlign w:val="center"/>
        </w:tcPr>
        <w:p w14:paraId="1934FE41"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Syst</w:t>
          </w:r>
          <w:r>
            <w:rPr>
              <w:rFonts w:ascii="Times New Roman" w:hAnsi="Times New Roman" w:cs="Times New Roman"/>
              <w:b/>
              <w:sz w:val="20"/>
              <w:szCs w:val="20"/>
            </w:rPr>
            <w:t>em</w:t>
          </w:r>
        </w:p>
        <w:p w14:paraId="210AC6D4"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Chars</w:t>
          </w:r>
        </w:p>
      </w:tc>
      <w:tc>
        <w:tcPr>
          <w:tcW w:w="1296" w:type="dxa"/>
          <w:shd w:val="clear" w:color="auto" w:fill="EEECE1" w:themeFill="background2"/>
          <w:vAlign w:val="center"/>
        </w:tcPr>
        <w:p w14:paraId="357A63DF"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Reference</w:t>
          </w:r>
        </w:p>
      </w:tc>
      <w:tc>
        <w:tcPr>
          <w:tcW w:w="864" w:type="dxa"/>
          <w:shd w:val="clear" w:color="auto" w:fill="EEECE1" w:themeFill="background2"/>
          <w:vAlign w:val="center"/>
        </w:tcPr>
        <w:p w14:paraId="335625F9"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Supplied</w:t>
          </w:r>
        </w:p>
        <w:p w14:paraId="0AFB91A2" w14:textId="77777777" w:rsidR="00CF70C5" w:rsidRPr="003C088B" w:rsidRDefault="00CF70C5" w:rsidP="008425B9">
          <w:pPr>
            <w:pStyle w:val="Header"/>
            <w:tabs>
              <w:tab w:val="clear" w:pos="4680"/>
              <w:tab w:val="right" w:pos="2160"/>
              <w:tab w:val="right" w:pos="3456"/>
              <w:tab w:val="right" w:pos="11520"/>
              <w:tab w:val="right" w:pos="12672"/>
              <w:tab w:val="right" w:pos="13536"/>
            </w:tabs>
            <w:jc w:val="center"/>
            <w:rPr>
              <w:rFonts w:ascii="Times New Roman" w:hAnsi="Times New Roman" w:cs="Times New Roman"/>
              <w:b/>
              <w:sz w:val="20"/>
              <w:szCs w:val="20"/>
            </w:rPr>
          </w:pPr>
          <w:r w:rsidRPr="003C088B">
            <w:rPr>
              <w:rFonts w:ascii="Times New Roman" w:hAnsi="Times New Roman" w:cs="Times New Roman"/>
              <w:b/>
              <w:sz w:val="20"/>
              <w:szCs w:val="20"/>
            </w:rPr>
            <w:t>By</w:t>
          </w:r>
        </w:p>
      </w:tc>
    </w:tr>
  </w:tbl>
  <w:p w14:paraId="7F413BA6" w14:textId="77777777" w:rsidR="00CF70C5" w:rsidRDefault="00CF70C5" w:rsidP="008425B9">
    <w:pPr>
      <w:pStyle w:val="Header"/>
      <w:tabs>
        <w:tab w:val="clear" w:pos="4680"/>
        <w:tab w:val="right" w:pos="2160"/>
        <w:tab w:val="right" w:pos="3456"/>
        <w:tab w:val="right" w:pos="11520"/>
        <w:tab w:val="right" w:pos="12672"/>
        <w:tab w:val="right" w:pos="13536"/>
      </w:tabs>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86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F71"/>
    <w:rsid w:val="00041CA6"/>
    <w:rsid w:val="00042790"/>
    <w:rsid w:val="0008795A"/>
    <w:rsid w:val="000B2649"/>
    <w:rsid w:val="000B3995"/>
    <w:rsid w:val="000D36B7"/>
    <w:rsid w:val="00142BF7"/>
    <w:rsid w:val="001641BE"/>
    <w:rsid w:val="001658B9"/>
    <w:rsid w:val="00185D90"/>
    <w:rsid w:val="00187FFA"/>
    <w:rsid w:val="001B1379"/>
    <w:rsid w:val="001C3A72"/>
    <w:rsid w:val="00205BBC"/>
    <w:rsid w:val="00241E28"/>
    <w:rsid w:val="002532FA"/>
    <w:rsid w:val="002879DE"/>
    <w:rsid w:val="00345D75"/>
    <w:rsid w:val="00345F92"/>
    <w:rsid w:val="00393D1A"/>
    <w:rsid w:val="003C088B"/>
    <w:rsid w:val="003E58BF"/>
    <w:rsid w:val="003F084C"/>
    <w:rsid w:val="00403BBC"/>
    <w:rsid w:val="00403DC6"/>
    <w:rsid w:val="0040568E"/>
    <w:rsid w:val="0044768A"/>
    <w:rsid w:val="00452820"/>
    <w:rsid w:val="0046428D"/>
    <w:rsid w:val="004872A9"/>
    <w:rsid w:val="004C402F"/>
    <w:rsid w:val="004F4A07"/>
    <w:rsid w:val="0052482A"/>
    <w:rsid w:val="00534202"/>
    <w:rsid w:val="00537B55"/>
    <w:rsid w:val="0055598D"/>
    <w:rsid w:val="00571B78"/>
    <w:rsid w:val="005B69EE"/>
    <w:rsid w:val="005F6FB3"/>
    <w:rsid w:val="00615872"/>
    <w:rsid w:val="00621847"/>
    <w:rsid w:val="00697CFD"/>
    <w:rsid w:val="006B5C9D"/>
    <w:rsid w:val="006D4F9F"/>
    <w:rsid w:val="00733544"/>
    <w:rsid w:val="00740A40"/>
    <w:rsid w:val="007446E3"/>
    <w:rsid w:val="00753F71"/>
    <w:rsid w:val="007A021F"/>
    <w:rsid w:val="007A427C"/>
    <w:rsid w:val="007D4E2A"/>
    <w:rsid w:val="007E043B"/>
    <w:rsid w:val="008425B9"/>
    <w:rsid w:val="008F6EA2"/>
    <w:rsid w:val="00902184"/>
    <w:rsid w:val="009711B0"/>
    <w:rsid w:val="009808C8"/>
    <w:rsid w:val="009848D4"/>
    <w:rsid w:val="00A048F7"/>
    <w:rsid w:val="00A352CB"/>
    <w:rsid w:val="00A80AF6"/>
    <w:rsid w:val="00A9790A"/>
    <w:rsid w:val="00AA7A11"/>
    <w:rsid w:val="00AC4FCF"/>
    <w:rsid w:val="00B13010"/>
    <w:rsid w:val="00B14963"/>
    <w:rsid w:val="00B16E7C"/>
    <w:rsid w:val="00B56E56"/>
    <w:rsid w:val="00BA2DE1"/>
    <w:rsid w:val="00BC031E"/>
    <w:rsid w:val="00BC55CA"/>
    <w:rsid w:val="00C740D2"/>
    <w:rsid w:val="00CA798D"/>
    <w:rsid w:val="00CF1BBE"/>
    <w:rsid w:val="00CF70C5"/>
    <w:rsid w:val="00D45300"/>
    <w:rsid w:val="00DA4E84"/>
    <w:rsid w:val="00DE71BE"/>
    <w:rsid w:val="00DF6F20"/>
    <w:rsid w:val="00E0124C"/>
    <w:rsid w:val="00E53EE0"/>
    <w:rsid w:val="00E76A38"/>
    <w:rsid w:val="00E87017"/>
    <w:rsid w:val="00EA470D"/>
    <w:rsid w:val="00EE749D"/>
    <w:rsid w:val="00F87824"/>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90991"/>
  <w15:docId w15:val="{76C6B3B0-8F23-4217-9A81-8DA18C36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DC6"/>
    <w:pPr>
      <w:tabs>
        <w:tab w:val="center" w:pos="4680"/>
        <w:tab w:val="right" w:pos="9360"/>
      </w:tabs>
    </w:pPr>
  </w:style>
  <w:style w:type="character" w:customStyle="1" w:styleId="HeaderChar">
    <w:name w:val="Header Char"/>
    <w:basedOn w:val="DefaultParagraphFont"/>
    <w:link w:val="Header"/>
    <w:uiPriority w:val="99"/>
    <w:rsid w:val="00403DC6"/>
  </w:style>
  <w:style w:type="paragraph" w:styleId="Footer">
    <w:name w:val="footer"/>
    <w:basedOn w:val="Normal"/>
    <w:link w:val="FooterChar"/>
    <w:uiPriority w:val="99"/>
    <w:unhideWhenUsed/>
    <w:rsid w:val="00403DC6"/>
    <w:pPr>
      <w:tabs>
        <w:tab w:val="center" w:pos="4680"/>
        <w:tab w:val="right" w:pos="9360"/>
      </w:tabs>
    </w:pPr>
  </w:style>
  <w:style w:type="character" w:customStyle="1" w:styleId="FooterChar">
    <w:name w:val="Footer Char"/>
    <w:basedOn w:val="DefaultParagraphFont"/>
    <w:link w:val="Footer"/>
    <w:uiPriority w:val="99"/>
    <w:rsid w:val="00403DC6"/>
  </w:style>
  <w:style w:type="table" w:styleId="TableGrid">
    <w:name w:val="Table Grid"/>
    <w:basedOn w:val="TableNormal"/>
    <w:uiPriority w:val="59"/>
    <w:rsid w:val="0040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8BF"/>
    <w:rPr>
      <w:rFonts w:ascii="Tahoma" w:hAnsi="Tahoma" w:cs="Tahoma"/>
      <w:sz w:val="16"/>
      <w:szCs w:val="16"/>
    </w:rPr>
  </w:style>
  <w:style w:type="character" w:customStyle="1" w:styleId="BalloonTextChar">
    <w:name w:val="Balloon Text Char"/>
    <w:basedOn w:val="DefaultParagraphFont"/>
    <w:link w:val="BalloonText"/>
    <w:uiPriority w:val="99"/>
    <w:semiHidden/>
    <w:rsid w:val="003E58BF"/>
    <w:rPr>
      <w:rFonts w:ascii="Tahoma" w:hAnsi="Tahoma" w:cs="Tahoma"/>
      <w:sz w:val="16"/>
      <w:szCs w:val="16"/>
    </w:rPr>
  </w:style>
  <w:style w:type="paragraph" w:styleId="PlainText">
    <w:name w:val="Plain Text"/>
    <w:basedOn w:val="Normal"/>
    <w:link w:val="PlainTextChar"/>
    <w:uiPriority w:val="99"/>
    <w:unhideWhenUsed/>
    <w:rsid w:val="00CF70C5"/>
    <w:rPr>
      <w:rFonts w:ascii="Consolas" w:hAnsi="Consolas"/>
      <w:sz w:val="21"/>
      <w:szCs w:val="21"/>
    </w:rPr>
  </w:style>
  <w:style w:type="character" w:customStyle="1" w:styleId="PlainTextChar">
    <w:name w:val="Plain Text Char"/>
    <w:basedOn w:val="DefaultParagraphFont"/>
    <w:link w:val="PlainText"/>
    <w:uiPriority w:val="99"/>
    <w:rsid w:val="00CF70C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pprovedBySupervisor xmlns="ebfb6c42-5f9d-421a-86cb-2353a2ee53ec">false</ApprovedBySupervisor>
    <TaxCatchAll xmlns="bd968da0-1dcd-4196-8b74-66c176644e30" xsi:nil="true"/>
    <lcf76f155ced4ddcb4097134ff3c332f xmlns="ebfb6c42-5f9d-421a-86cb-2353a2ee53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DD45DD2D9F204F92C2B3725BD9B40B" ma:contentTypeVersion="15" ma:contentTypeDescription="Create a new document." ma:contentTypeScope="" ma:versionID="8b26768421ff9b281d15c0e6da182e8f">
  <xsd:schema xmlns:xsd="http://www.w3.org/2001/XMLSchema" xmlns:xs="http://www.w3.org/2001/XMLSchema" xmlns:p="http://schemas.microsoft.com/office/2006/metadata/properties" xmlns:ns1="http://schemas.microsoft.com/sharepoint/v3" xmlns:ns2="ebfb6c42-5f9d-421a-86cb-2353a2ee53ec" xmlns:ns3="bd968da0-1dcd-4196-8b74-66c176644e30" targetNamespace="http://schemas.microsoft.com/office/2006/metadata/properties" ma:root="true" ma:fieldsID="92bd4ef84f78b6f8a7d726ef8a0777d1" ns1:_="" ns2:_="" ns3:_="">
    <xsd:import namespace="http://schemas.microsoft.com/sharepoint/v3"/>
    <xsd:import namespace="ebfb6c42-5f9d-421a-86cb-2353a2ee53ec"/>
    <xsd:import namespace="bd968da0-1dcd-4196-8b74-66c176644e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ApprovedBySupervisor"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b6c42-5f9d-421a-86cb-2353a2ee5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ApprovedBySupervisor" ma:index="15" nillable="true" ma:displayName="Approved By Supervisor" ma:default="0" ma:format="Dropdown" ma:internalName="ApprovedBySupervisor">
      <xsd:simpleType>
        <xsd:restriction base="dms:Boolea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21874-3e24-4bfb-9b59-dc62cc6fcc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968da0-1dcd-4196-8b74-66c176644e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b29920-9a8c-45a4-b2ec-ad34efff4033}" ma:internalName="TaxCatchAll" ma:showField="CatchAllData" ma:web="bd968da0-1dcd-4196-8b74-66c176644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B7F38-27D4-4F70-8718-6C6635132619}">
  <ds:schemaRefs>
    <ds:schemaRef ds:uri="http://schemas.microsoft.com/sharepoint/v3/contenttype/forms"/>
  </ds:schemaRefs>
</ds:datastoreItem>
</file>

<file path=customXml/itemProps2.xml><?xml version="1.0" encoding="utf-8"?>
<ds:datastoreItem xmlns:ds="http://schemas.openxmlformats.org/officeDocument/2006/customXml" ds:itemID="{6E1B687B-A0C1-4F11-B580-EDF895D4E99C}">
  <ds:schemaRefs>
    <ds:schemaRef ds:uri="http://schemas.microsoft.com/office/2006/metadata/properties"/>
    <ds:schemaRef ds:uri="http://schemas.microsoft.com/office/infopath/2007/PartnerControls"/>
    <ds:schemaRef ds:uri="http://schemas.microsoft.com/sharepoint/v3"/>
    <ds:schemaRef ds:uri="ebfb6c42-5f9d-421a-86cb-2353a2ee53ec"/>
    <ds:schemaRef ds:uri="bd968da0-1dcd-4196-8b74-66c176644e30"/>
  </ds:schemaRefs>
</ds:datastoreItem>
</file>

<file path=customXml/itemProps3.xml><?xml version="1.0" encoding="utf-8"?>
<ds:datastoreItem xmlns:ds="http://schemas.openxmlformats.org/officeDocument/2006/customXml" ds:itemID="{100E6F18-C328-4DAF-A245-DAAFB8E99402}">
  <ds:schemaRefs>
    <ds:schemaRef ds:uri="http://schemas.openxmlformats.org/officeDocument/2006/bibliography"/>
  </ds:schemaRefs>
</ds:datastoreItem>
</file>

<file path=customXml/itemProps4.xml><?xml version="1.0" encoding="utf-8"?>
<ds:datastoreItem xmlns:ds="http://schemas.openxmlformats.org/officeDocument/2006/customXml" ds:itemID="{8B337C3D-F23C-463C-A762-ED4F3E11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fb6c42-5f9d-421a-86cb-2353a2ee53ec"/>
    <ds:schemaRef ds:uri="bd968da0-1dcd-4196-8b74-66c176644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1954</Words>
  <Characters>11140</Characters>
  <Application>Microsoft Office Word</Application>
  <DocSecurity>2</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D. Epperly</dc:creator>
  <cp:lastModifiedBy>Heather D. Six</cp:lastModifiedBy>
  <cp:revision>2</cp:revision>
  <dcterms:created xsi:type="dcterms:W3CDTF">2026-01-07T12:46:00Z</dcterms:created>
  <dcterms:modified xsi:type="dcterms:W3CDTF">2026-01-07T12:46:00Z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0x010100FADD45DD2D9F204F92C2B3725BD9B40B</vt:lpwstr>
  </property>
</Properties>
</file>