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5F76" w14:textId="42ABB8B4" w:rsidR="00665F8B" w:rsidRPr="00405DC5" w:rsidRDefault="00665F8B" w:rsidP="00665F8B">
      <w:pPr>
        <w:spacing w:after="0" w:line="240" w:lineRule="auto"/>
        <w:jc w:val="center"/>
        <w:rPr>
          <w:rFonts w:ascii="Times New Roman" w:hAnsi="Times New Roman" w:cs="Times New Roman"/>
          <w:b/>
          <w:bCs/>
          <w:sz w:val="28"/>
          <w:szCs w:val="28"/>
        </w:rPr>
      </w:pPr>
      <w:r w:rsidRPr="00405DC5">
        <w:rPr>
          <w:rFonts w:ascii="Times New Roman" w:hAnsi="Times New Roman" w:cs="Times New Roman"/>
          <w:b/>
          <w:bCs/>
          <w:sz w:val="28"/>
          <w:szCs w:val="28"/>
        </w:rPr>
        <w:t xml:space="preserve">Proposed Budgetary Revisions and New Accounts </w:t>
      </w:r>
    </w:p>
    <w:p w14:paraId="49964796" w14:textId="1F49020E" w:rsidR="00665F8B" w:rsidRPr="00405DC5" w:rsidRDefault="00665F8B" w:rsidP="00665F8B">
      <w:pPr>
        <w:spacing w:after="0" w:line="240" w:lineRule="auto"/>
        <w:rPr>
          <w:rFonts w:ascii="Times New Roman" w:hAnsi="Times New Roman" w:cs="Times New Roman"/>
          <w:b/>
          <w:bCs/>
          <w:sz w:val="28"/>
          <w:szCs w:val="28"/>
        </w:rPr>
      </w:pPr>
      <w:r w:rsidRPr="00405DC5">
        <w:rPr>
          <w:rFonts w:ascii="Times New Roman" w:hAnsi="Times New Roman" w:cs="Times New Roman"/>
          <w:b/>
          <w:bCs/>
          <w:sz w:val="28"/>
          <w:szCs w:val="28"/>
        </w:rPr>
        <w:t>Fiscal Year 2025</w:t>
      </w:r>
      <w:r w:rsidR="00405DC5" w:rsidRPr="00405DC5">
        <w:rPr>
          <w:rFonts w:ascii="Times New Roman" w:hAnsi="Times New Roman" w:cs="Times New Roman"/>
          <w:b/>
          <w:bCs/>
          <w:sz w:val="28"/>
          <w:szCs w:val="28"/>
        </w:rPr>
        <w:t xml:space="preserve"> Revisions:</w:t>
      </w:r>
    </w:p>
    <w:p w14:paraId="485BD34D" w14:textId="77777777" w:rsidR="00665F8B" w:rsidRDefault="00665F8B" w:rsidP="00665F8B">
      <w:pPr>
        <w:spacing w:after="0" w:line="240" w:lineRule="auto"/>
        <w:rPr>
          <w:b/>
          <w:bCs/>
          <w:sz w:val="24"/>
          <w:szCs w:val="24"/>
        </w:rPr>
      </w:pPr>
    </w:p>
    <w:p w14:paraId="5C6257CB" w14:textId="77777777" w:rsidR="00665F8B" w:rsidRPr="00124226" w:rsidRDefault="00665F8B" w:rsidP="00665F8B">
      <w:pPr>
        <w:spacing w:after="0" w:line="240" w:lineRule="auto"/>
        <w:rPr>
          <w:rFonts w:ascii="Times New Roman" w:hAnsi="Times New Roman" w:cs="Times New Roman"/>
          <w:color w:val="0070C0"/>
          <w:sz w:val="24"/>
          <w:szCs w:val="24"/>
        </w:rPr>
      </w:pPr>
      <w:r w:rsidRPr="00124226">
        <w:rPr>
          <w:rFonts w:ascii="Times New Roman" w:hAnsi="Times New Roman" w:cs="Times New Roman"/>
          <w:b/>
          <w:bCs/>
          <w:sz w:val="24"/>
          <w:szCs w:val="24"/>
        </w:rPr>
        <w:t>Account Title:</w:t>
      </w:r>
      <w:r w:rsidRPr="00124226">
        <w:rPr>
          <w:rFonts w:ascii="Times New Roman" w:hAnsi="Times New Roman" w:cs="Times New Roman"/>
          <w:sz w:val="24"/>
          <w:szCs w:val="24"/>
        </w:rPr>
        <w:t xml:space="preserve"> Allocations of Authority - Anticipated From Invested Balances - </w:t>
      </w:r>
      <w:r w:rsidRPr="00124226">
        <w:rPr>
          <w:rFonts w:ascii="Times New Roman" w:hAnsi="Times New Roman" w:cs="Times New Roman"/>
          <w:b/>
          <w:bCs/>
          <w:color w:val="0070C0"/>
          <w:sz w:val="24"/>
          <w:szCs w:val="24"/>
          <w:highlight w:val="yellow"/>
        </w:rPr>
        <w:t>Current-Year</w:t>
      </w:r>
    </w:p>
    <w:p w14:paraId="43CEF472" w14:textId="77777777" w:rsidR="00665F8B" w:rsidRPr="00124226" w:rsidRDefault="00665F8B" w:rsidP="00665F8B">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Account Number:</w:t>
      </w:r>
      <w:r w:rsidRPr="00124226">
        <w:rPr>
          <w:rFonts w:ascii="Times New Roman" w:hAnsi="Times New Roman" w:cs="Times New Roman"/>
          <w:sz w:val="24"/>
          <w:szCs w:val="24"/>
        </w:rPr>
        <w:t xml:space="preserve"> 416500 </w:t>
      </w:r>
    </w:p>
    <w:p w14:paraId="758480E5" w14:textId="77777777" w:rsidR="00665F8B" w:rsidRPr="00124226" w:rsidRDefault="00665F8B" w:rsidP="00665F8B">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Normal Balance:</w:t>
      </w:r>
      <w:r w:rsidRPr="00124226">
        <w:rPr>
          <w:rFonts w:ascii="Times New Roman" w:hAnsi="Times New Roman" w:cs="Times New Roman"/>
          <w:sz w:val="24"/>
          <w:szCs w:val="24"/>
        </w:rPr>
        <w:t xml:space="preserve"> Debit </w:t>
      </w:r>
    </w:p>
    <w:p w14:paraId="7751B5F8" w14:textId="1A9ABBBD" w:rsidR="00665F8B" w:rsidRPr="00124226" w:rsidRDefault="00665F8B" w:rsidP="00665F8B">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Definition:</w:t>
      </w:r>
      <w:r w:rsidRPr="00124226">
        <w:rPr>
          <w:rFonts w:ascii="Times New Roman" w:hAnsi="Times New Roman" w:cs="Times New Roman"/>
          <w:sz w:val="24"/>
          <w:szCs w:val="24"/>
        </w:rPr>
        <w:t xml:space="preserve"> This account is used to record the amount of </w:t>
      </w:r>
      <w:r w:rsidRPr="00124226">
        <w:rPr>
          <w:rFonts w:ascii="Times New Roman" w:hAnsi="Times New Roman" w:cs="Times New Roman"/>
          <w:b/>
          <w:bCs/>
          <w:color w:val="0070C0"/>
          <w:sz w:val="24"/>
          <w:szCs w:val="24"/>
          <w:highlight w:val="yellow"/>
        </w:rPr>
        <w:t>current-year</w:t>
      </w:r>
      <w:r w:rsidRPr="00124226">
        <w:rPr>
          <w:rFonts w:ascii="Times New Roman" w:hAnsi="Times New Roman" w:cs="Times New Roman"/>
          <w:sz w:val="24"/>
          <w:szCs w:val="24"/>
        </w:rPr>
        <w:t xml:space="preserve"> </w:t>
      </w:r>
      <w:r w:rsidRPr="00124226">
        <w:rPr>
          <w:rFonts w:ascii="Times New Roman" w:hAnsi="Times New Roman" w:cs="Times New Roman"/>
          <w:strike/>
          <w:color w:val="FF0000"/>
          <w:sz w:val="24"/>
          <w:szCs w:val="24"/>
          <w:highlight w:val="yellow"/>
        </w:rPr>
        <w:t>new</w:t>
      </w:r>
      <w:r w:rsidRPr="00124226">
        <w:rPr>
          <w:rFonts w:ascii="Times New Roman" w:hAnsi="Times New Roman" w:cs="Times New Roman"/>
          <w:sz w:val="24"/>
          <w:szCs w:val="24"/>
        </w:rPr>
        <w:t xml:space="preserve">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 </w:t>
      </w:r>
      <w:r w:rsidRPr="00124226">
        <w:rPr>
          <w:rFonts w:ascii="Times New Roman" w:hAnsi="Times New Roman" w:cs="Times New Roman"/>
          <w:b/>
          <w:bCs/>
          <w:color w:val="0070C0"/>
          <w:sz w:val="24"/>
          <w:szCs w:val="24"/>
          <w:highlight w:val="yellow"/>
        </w:rPr>
        <w:t>Current-Year</w:t>
      </w:r>
      <w:r w:rsidRPr="00124226">
        <w:rPr>
          <w:rFonts w:ascii="Times New Roman" w:hAnsi="Times New Roman" w:cs="Times New Roman"/>
          <w:sz w:val="24"/>
          <w:szCs w:val="24"/>
        </w:rPr>
        <w:t xml:space="preserve">,” and/or 416700, “Allocations of Realized Authority - Transferred From Invested Balances - </w:t>
      </w:r>
      <w:r w:rsidRPr="00124226">
        <w:rPr>
          <w:rFonts w:ascii="Times New Roman" w:hAnsi="Times New Roman" w:cs="Times New Roman"/>
          <w:b/>
          <w:bCs/>
          <w:color w:val="0070C0"/>
          <w:sz w:val="24"/>
          <w:szCs w:val="24"/>
          <w:highlight w:val="yellow"/>
        </w:rPr>
        <w:t>Current-Year.</w:t>
      </w:r>
      <w:r w:rsidRPr="00124226">
        <w:rPr>
          <w:rFonts w:ascii="Times New Roman" w:hAnsi="Times New Roman" w:cs="Times New Roman"/>
          <w:sz w:val="24"/>
          <w:szCs w:val="24"/>
        </w:rPr>
        <w:t>”</w:t>
      </w:r>
    </w:p>
    <w:p w14:paraId="14BED0C6" w14:textId="77777777" w:rsidR="00665F8B" w:rsidRPr="00124226" w:rsidRDefault="00665F8B" w:rsidP="00665F8B">
      <w:pPr>
        <w:spacing w:after="0" w:line="240" w:lineRule="auto"/>
        <w:rPr>
          <w:rFonts w:ascii="Times New Roman" w:hAnsi="Times New Roman" w:cs="Times New Roman"/>
          <w:sz w:val="24"/>
          <w:szCs w:val="24"/>
        </w:rPr>
      </w:pPr>
    </w:p>
    <w:p w14:paraId="775C0222" w14:textId="77777777" w:rsidR="00665F8B" w:rsidRPr="00124226" w:rsidRDefault="00665F8B" w:rsidP="00665F8B">
      <w:pPr>
        <w:pStyle w:val="Default"/>
      </w:pPr>
      <w:r w:rsidRPr="00124226">
        <w:rPr>
          <w:b/>
          <w:bCs/>
          <w:color w:val="auto"/>
        </w:rPr>
        <w:t>Justification:</w:t>
      </w:r>
      <w:r w:rsidRPr="00124226">
        <w:t xml:space="preserve">  Modify USSGL account to separate prior-year (existing USSGL account 416512) from current-year (existing USSGL account 416500).</w:t>
      </w:r>
    </w:p>
    <w:p w14:paraId="1FCADA20" w14:textId="77777777" w:rsidR="00665F8B" w:rsidRPr="00124226" w:rsidRDefault="00665F8B" w:rsidP="00665F8B">
      <w:pPr>
        <w:spacing w:after="0" w:line="240" w:lineRule="auto"/>
        <w:rPr>
          <w:rFonts w:ascii="Times New Roman" w:hAnsi="Times New Roman" w:cs="Times New Roman"/>
          <w:sz w:val="24"/>
          <w:szCs w:val="24"/>
        </w:rPr>
      </w:pPr>
    </w:p>
    <w:p w14:paraId="5AE1356C" w14:textId="77777777" w:rsidR="00124226" w:rsidRPr="00124226" w:rsidRDefault="00124226" w:rsidP="00124226">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Account Title:</w:t>
      </w:r>
      <w:r w:rsidRPr="00124226">
        <w:rPr>
          <w:rFonts w:ascii="Times New Roman" w:hAnsi="Times New Roman" w:cs="Times New Roman"/>
          <w:sz w:val="24"/>
          <w:szCs w:val="24"/>
        </w:rPr>
        <w:t xml:space="preserve"> Allocations of Authority - Anticipated From Invested Balances - Prior-Year</w:t>
      </w:r>
    </w:p>
    <w:p w14:paraId="0CCB461B" w14:textId="77777777" w:rsidR="00124226" w:rsidRPr="00124226" w:rsidRDefault="00124226" w:rsidP="00124226">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Account Number:</w:t>
      </w:r>
      <w:r w:rsidRPr="00124226">
        <w:rPr>
          <w:rFonts w:ascii="Times New Roman" w:hAnsi="Times New Roman" w:cs="Times New Roman"/>
          <w:sz w:val="24"/>
          <w:szCs w:val="24"/>
        </w:rPr>
        <w:t xml:space="preserve"> 416512</w:t>
      </w:r>
    </w:p>
    <w:p w14:paraId="6D4D336D" w14:textId="77777777" w:rsidR="00124226" w:rsidRPr="00124226" w:rsidRDefault="00124226" w:rsidP="00124226">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Normal Balance:</w:t>
      </w:r>
      <w:r w:rsidRPr="00124226">
        <w:rPr>
          <w:rFonts w:ascii="Times New Roman" w:hAnsi="Times New Roman" w:cs="Times New Roman"/>
          <w:sz w:val="24"/>
          <w:szCs w:val="24"/>
        </w:rPr>
        <w:t xml:space="preserve"> Debit</w:t>
      </w:r>
    </w:p>
    <w:p w14:paraId="45BAD096" w14:textId="77777777" w:rsidR="00124226" w:rsidRPr="00124226" w:rsidRDefault="00124226" w:rsidP="00124226">
      <w:pPr>
        <w:pStyle w:val="BodyText"/>
        <w:spacing w:after="0"/>
        <w:ind w:right="173"/>
        <w:rPr>
          <w:rFonts w:ascii="Times New Roman" w:eastAsia="Times New Roman" w:hAnsi="Times New Roman" w:cs="Times New Roman"/>
          <w:strike/>
          <w:color w:val="FF0000"/>
          <w:spacing w:val="-2"/>
          <w:sz w:val="24"/>
          <w:szCs w:val="24"/>
        </w:rPr>
      </w:pPr>
      <w:r w:rsidRPr="00124226">
        <w:rPr>
          <w:rFonts w:ascii="Times New Roman" w:hAnsi="Times New Roman" w:cs="Times New Roman"/>
          <w:b/>
          <w:bCs/>
          <w:sz w:val="24"/>
          <w:szCs w:val="24"/>
        </w:rPr>
        <w:t>Definition:</w:t>
      </w:r>
      <w:r w:rsidRPr="00124226">
        <w:rPr>
          <w:rFonts w:ascii="Times New Roman" w:hAnsi="Times New Roman" w:cs="Times New Roman"/>
          <w:sz w:val="24"/>
          <w:szCs w:val="24"/>
        </w:rPr>
        <w:t xml:space="preserve"> The amount of prior year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416612, "Allocations of Realized Authority - To Be transferred From Invested Balances - Prior-Year," and/or 416712, "Allocations of Realized Authority - Transferred From Invested Balances – Prior-Year."</w:t>
      </w:r>
      <w:r w:rsidRPr="00124226">
        <w:rPr>
          <w:rFonts w:ascii="Times New Roman" w:hAnsi="Times New Roman" w:cs="Times New Roman"/>
          <w:strike/>
          <w:color w:val="FF0000"/>
          <w:sz w:val="24"/>
          <w:szCs w:val="24"/>
        </w:rPr>
        <w:t xml:space="preserve"> </w:t>
      </w:r>
      <w:r w:rsidRPr="00124226">
        <w:rPr>
          <w:rFonts w:ascii="Times New Roman" w:eastAsia="Times New Roman" w:hAnsi="Times New Roman" w:cs="Times New Roman"/>
          <w:strike/>
          <w:color w:val="FF0000"/>
          <w:sz w:val="24"/>
          <w:szCs w:val="24"/>
          <w:highlight w:val="yellow"/>
        </w:rPr>
        <w:t>Corps</w:t>
      </w:r>
      <w:r w:rsidRPr="00124226">
        <w:rPr>
          <w:rFonts w:ascii="Times New Roman" w:eastAsia="Times New Roman" w:hAnsi="Times New Roman" w:cs="Times New Roman"/>
          <w:strike/>
          <w:color w:val="FF0000"/>
          <w:spacing w:val="-3"/>
          <w:sz w:val="24"/>
          <w:szCs w:val="24"/>
          <w:highlight w:val="yellow"/>
        </w:rPr>
        <w:t xml:space="preserve"> </w:t>
      </w:r>
      <w:r w:rsidRPr="00124226">
        <w:rPr>
          <w:rFonts w:ascii="Times New Roman" w:eastAsia="Times New Roman" w:hAnsi="Times New Roman" w:cs="Times New Roman"/>
          <w:strike/>
          <w:color w:val="FF0000"/>
          <w:sz w:val="24"/>
          <w:szCs w:val="24"/>
          <w:highlight w:val="yellow"/>
        </w:rPr>
        <w:t>of</w:t>
      </w:r>
      <w:r w:rsidRPr="00124226">
        <w:rPr>
          <w:rFonts w:ascii="Times New Roman" w:eastAsia="Times New Roman" w:hAnsi="Times New Roman" w:cs="Times New Roman"/>
          <w:strike/>
          <w:color w:val="FF0000"/>
          <w:spacing w:val="-3"/>
          <w:sz w:val="24"/>
          <w:szCs w:val="24"/>
          <w:highlight w:val="yellow"/>
        </w:rPr>
        <w:t xml:space="preserve"> </w:t>
      </w:r>
      <w:r w:rsidRPr="00124226">
        <w:rPr>
          <w:rFonts w:ascii="Times New Roman" w:eastAsia="Times New Roman" w:hAnsi="Times New Roman" w:cs="Times New Roman"/>
          <w:strike/>
          <w:color w:val="FF0000"/>
          <w:sz w:val="24"/>
          <w:szCs w:val="24"/>
          <w:highlight w:val="yellow"/>
        </w:rPr>
        <w:t>Engineers</w:t>
      </w:r>
      <w:r w:rsidRPr="00124226">
        <w:rPr>
          <w:rFonts w:ascii="Times New Roman" w:eastAsia="Times New Roman" w:hAnsi="Times New Roman" w:cs="Times New Roman"/>
          <w:strike/>
          <w:color w:val="FF0000"/>
          <w:spacing w:val="-4"/>
          <w:sz w:val="24"/>
          <w:szCs w:val="24"/>
          <w:highlight w:val="yellow"/>
        </w:rPr>
        <w:t xml:space="preserve"> </w:t>
      </w:r>
      <w:r w:rsidRPr="00124226">
        <w:rPr>
          <w:rFonts w:ascii="Times New Roman" w:eastAsia="Times New Roman" w:hAnsi="Times New Roman" w:cs="Times New Roman"/>
          <w:strike/>
          <w:color w:val="FF0000"/>
          <w:sz w:val="24"/>
          <w:szCs w:val="24"/>
          <w:highlight w:val="yellow"/>
        </w:rPr>
        <w:t>-</w:t>
      </w:r>
      <w:r w:rsidRPr="00124226">
        <w:rPr>
          <w:rFonts w:ascii="Times New Roman" w:eastAsia="Times New Roman" w:hAnsi="Times New Roman" w:cs="Times New Roman"/>
          <w:strike/>
          <w:color w:val="FF0000"/>
          <w:spacing w:val="-3"/>
          <w:sz w:val="24"/>
          <w:szCs w:val="24"/>
          <w:highlight w:val="yellow"/>
        </w:rPr>
        <w:t xml:space="preserve"> </w:t>
      </w:r>
      <w:r w:rsidRPr="00124226">
        <w:rPr>
          <w:rFonts w:ascii="Times New Roman" w:eastAsia="Times New Roman" w:hAnsi="Times New Roman" w:cs="Times New Roman"/>
          <w:strike/>
          <w:color w:val="FF0000"/>
          <w:sz w:val="24"/>
          <w:szCs w:val="24"/>
          <w:highlight w:val="yellow"/>
        </w:rPr>
        <w:t>Civil</w:t>
      </w:r>
      <w:r w:rsidRPr="00124226">
        <w:rPr>
          <w:rFonts w:ascii="Times New Roman" w:eastAsia="Times New Roman" w:hAnsi="Times New Roman" w:cs="Times New Roman"/>
          <w:strike/>
          <w:color w:val="FF0000"/>
          <w:spacing w:val="-4"/>
          <w:sz w:val="24"/>
          <w:szCs w:val="24"/>
          <w:highlight w:val="yellow"/>
        </w:rPr>
        <w:t xml:space="preserve"> </w:t>
      </w:r>
      <w:r w:rsidRPr="00124226">
        <w:rPr>
          <w:rFonts w:ascii="Times New Roman" w:eastAsia="Times New Roman" w:hAnsi="Times New Roman" w:cs="Times New Roman"/>
          <w:strike/>
          <w:color w:val="FF0000"/>
          <w:sz w:val="24"/>
          <w:szCs w:val="24"/>
          <w:highlight w:val="yellow"/>
        </w:rPr>
        <w:t>Works</w:t>
      </w:r>
      <w:r w:rsidRPr="00124226">
        <w:rPr>
          <w:rFonts w:ascii="Times New Roman" w:eastAsia="Times New Roman" w:hAnsi="Times New Roman" w:cs="Times New Roman"/>
          <w:strike/>
          <w:color w:val="FF0000"/>
          <w:spacing w:val="-3"/>
          <w:sz w:val="24"/>
          <w:szCs w:val="24"/>
          <w:highlight w:val="yellow"/>
        </w:rPr>
        <w:t xml:space="preserve"> </w:t>
      </w:r>
      <w:r w:rsidRPr="00124226">
        <w:rPr>
          <w:rFonts w:ascii="Times New Roman" w:eastAsia="Times New Roman" w:hAnsi="Times New Roman" w:cs="Times New Roman"/>
          <w:strike/>
          <w:color w:val="FF0000"/>
          <w:sz w:val="24"/>
          <w:szCs w:val="24"/>
          <w:highlight w:val="yellow"/>
        </w:rPr>
        <w:t xml:space="preserve">use </w:t>
      </w:r>
      <w:r w:rsidRPr="00124226">
        <w:rPr>
          <w:rFonts w:ascii="Times New Roman" w:eastAsia="Times New Roman" w:hAnsi="Times New Roman" w:cs="Times New Roman"/>
          <w:strike/>
          <w:color w:val="FF0000"/>
          <w:spacing w:val="-2"/>
          <w:sz w:val="24"/>
          <w:szCs w:val="24"/>
          <w:highlight w:val="yellow"/>
        </w:rPr>
        <w:t>only.</w:t>
      </w:r>
    </w:p>
    <w:p w14:paraId="0918A855" w14:textId="77777777" w:rsidR="00124226" w:rsidRPr="00124226" w:rsidRDefault="00124226" w:rsidP="00124226">
      <w:pPr>
        <w:spacing w:after="0" w:line="240" w:lineRule="auto"/>
        <w:rPr>
          <w:rFonts w:ascii="Times New Roman" w:hAnsi="Times New Roman" w:cs="Times New Roman"/>
          <w:b/>
          <w:bCs/>
          <w:sz w:val="24"/>
          <w:szCs w:val="24"/>
        </w:rPr>
      </w:pPr>
    </w:p>
    <w:p w14:paraId="0D7B1B1A" w14:textId="3DBCA527" w:rsidR="00124226" w:rsidRPr="00124226" w:rsidRDefault="00124226" w:rsidP="00124226">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Justification:</w:t>
      </w:r>
      <w:r w:rsidRPr="00124226">
        <w:rPr>
          <w:rFonts w:ascii="Times New Roman" w:hAnsi="Times New Roman" w:cs="Times New Roman"/>
          <w:color w:val="0070C0"/>
          <w:sz w:val="24"/>
          <w:szCs w:val="24"/>
        </w:rPr>
        <w:t xml:space="preserve">  </w:t>
      </w:r>
      <w:r w:rsidRPr="00124226">
        <w:rPr>
          <w:rFonts w:ascii="Times New Roman" w:hAnsi="Times New Roman" w:cs="Times New Roman"/>
          <w:sz w:val="24"/>
          <w:szCs w:val="24"/>
        </w:rPr>
        <w:t>In addition to USACE, required for Department of the Interior allocation accounts associated with the National Parks and Public Land Legacy Restoration Fund as authorized by the Great American Outdoors Act.  GTAS validation will be added to limit access for use.</w:t>
      </w:r>
    </w:p>
    <w:p w14:paraId="6A05E970" w14:textId="77777777" w:rsidR="00124226" w:rsidRDefault="00124226" w:rsidP="00124226">
      <w:pPr>
        <w:pStyle w:val="BodyText"/>
        <w:ind w:right="173"/>
        <w:rPr>
          <w:rFonts w:ascii="Times New Roman" w:eastAsia="Times New Roman" w:hAnsi="Times New Roman" w:cs="Times New Roman"/>
          <w:strike/>
          <w:color w:val="FF0000"/>
          <w:sz w:val="24"/>
          <w:szCs w:val="24"/>
        </w:rPr>
      </w:pPr>
    </w:p>
    <w:p w14:paraId="06332B64" w14:textId="77777777" w:rsidR="00124226" w:rsidRDefault="00124226" w:rsidP="00124226">
      <w:pPr>
        <w:pStyle w:val="BodyText"/>
        <w:ind w:right="173"/>
        <w:rPr>
          <w:rFonts w:ascii="Times New Roman" w:eastAsia="Times New Roman" w:hAnsi="Times New Roman" w:cs="Times New Roman"/>
          <w:strike/>
          <w:color w:val="FF0000"/>
          <w:sz w:val="24"/>
          <w:szCs w:val="24"/>
        </w:rPr>
      </w:pPr>
    </w:p>
    <w:p w14:paraId="479663BC" w14:textId="77777777" w:rsidR="00124226" w:rsidRDefault="00124226" w:rsidP="00124226">
      <w:pPr>
        <w:pStyle w:val="BodyText"/>
        <w:ind w:right="173"/>
        <w:rPr>
          <w:rFonts w:ascii="Times New Roman" w:eastAsia="Times New Roman" w:hAnsi="Times New Roman" w:cs="Times New Roman"/>
          <w:strike/>
          <w:color w:val="FF0000"/>
          <w:sz w:val="24"/>
          <w:szCs w:val="24"/>
        </w:rPr>
      </w:pPr>
    </w:p>
    <w:p w14:paraId="2A8EE7CD" w14:textId="77777777" w:rsidR="00124226" w:rsidRDefault="00124226" w:rsidP="00124226">
      <w:pPr>
        <w:pStyle w:val="BodyText"/>
        <w:ind w:right="173"/>
        <w:rPr>
          <w:rFonts w:ascii="Times New Roman" w:eastAsia="Times New Roman" w:hAnsi="Times New Roman" w:cs="Times New Roman"/>
          <w:strike/>
          <w:color w:val="FF0000"/>
          <w:sz w:val="24"/>
          <w:szCs w:val="24"/>
        </w:rPr>
      </w:pPr>
    </w:p>
    <w:p w14:paraId="2A7A0993" w14:textId="77777777" w:rsidR="009A2884" w:rsidRPr="00124226" w:rsidRDefault="009A2884" w:rsidP="009A2884">
      <w:pPr>
        <w:spacing w:after="0" w:line="240" w:lineRule="auto"/>
        <w:rPr>
          <w:rFonts w:ascii="Times New Roman" w:hAnsi="Times New Roman" w:cs="Times New Roman"/>
          <w:b/>
          <w:bCs/>
          <w:color w:val="0070C0"/>
          <w:sz w:val="24"/>
          <w:szCs w:val="24"/>
        </w:rPr>
      </w:pPr>
      <w:r w:rsidRPr="00124226">
        <w:rPr>
          <w:rFonts w:ascii="Times New Roman" w:hAnsi="Times New Roman" w:cs="Times New Roman"/>
          <w:b/>
          <w:bCs/>
          <w:sz w:val="24"/>
          <w:szCs w:val="24"/>
        </w:rPr>
        <w:lastRenderedPageBreak/>
        <w:t>Account Title:</w:t>
      </w:r>
      <w:r w:rsidRPr="00124226">
        <w:rPr>
          <w:rFonts w:ascii="Times New Roman" w:hAnsi="Times New Roman" w:cs="Times New Roman"/>
          <w:sz w:val="24"/>
          <w:szCs w:val="24"/>
        </w:rPr>
        <w:t xml:space="preserve"> Allocations of Realized Authority - To Be Transferred From Invested Balances - </w:t>
      </w:r>
      <w:r w:rsidRPr="00124226">
        <w:rPr>
          <w:rFonts w:ascii="Times New Roman" w:hAnsi="Times New Roman" w:cs="Times New Roman"/>
          <w:b/>
          <w:bCs/>
          <w:color w:val="0070C0"/>
          <w:sz w:val="24"/>
          <w:szCs w:val="24"/>
          <w:highlight w:val="yellow"/>
        </w:rPr>
        <w:t>Current-Year</w:t>
      </w:r>
    </w:p>
    <w:p w14:paraId="26CE0BF2" w14:textId="77777777" w:rsidR="009A2884" w:rsidRPr="00124226" w:rsidRDefault="009A2884" w:rsidP="009A2884">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Account Number:</w:t>
      </w:r>
      <w:r w:rsidRPr="00124226">
        <w:rPr>
          <w:rFonts w:ascii="Times New Roman" w:hAnsi="Times New Roman" w:cs="Times New Roman"/>
          <w:sz w:val="24"/>
          <w:szCs w:val="24"/>
        </w:rPr>
        <w:t xml:space="preserve"> 416600 </w:t>
      </w:r>
    </w:p>
    <w:p w14:paraId="49ACF797" w14:textId="77777777" w:rsidR="009A2884" w:rsidRPr="00124226" w:rsidRDefault="009A2884" w:rsidP="009A2884">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Normal Balance:</w:t>
      </w:r>
      <w:r w:rsidRPr="00124226">
        <w:rPr>
          <w:rFonts w:ascii="Times New Roman" w:hAnsi="Times New Roman" w:cs="Times New Roman"/>
          <w:sz w:val="24"/>
          <w:szCs w:val="24"/>
        </w:rPr>
        <w:t xml:space="preserve"> Debit </w:t>
      </w:r>
    </w:p>
    <w:p w14:paraId="0BA329EF" w14:textId="77777777" w:rsidR="009A2884" w:rsidRPr="00124226" w:rsidRDefault="009A2884" w:rsidP="009A2884">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Definition:</w:t>
      </w:r>
      <w:r w:rsidRPr="00124226">
        <w:rPr>
          <w:rFonts w:ascii="Times New Roman" w:hAnsi="Times New Roman" w:cs="Times New Roman"/>
          <w:sz w:val="24"/>
          <w:szCs w:val="24"/>
        </w:rPr>
        <w:t xml:space="preserve"> This account is used to record the amount of undistributed funds </w:t>
      </w:r>
      <w:r w:rsidRPr="00124226">
        <w:rPr>
          <w:rFonts w:ascii="Times New Roman" w:hAnsi="Times New Roman" w:cs="Times New Roman"/>
          <w:b/>
          <w:bCs/>
          <w:color w:val="0070C0"/>
          <w:sz w:val="24"/>
          <w:szCs w:val="24"/>
          <w:highlight w:val="yellow"/>
        </w:rPr>
        <w:t>of current-year budget authority</w:t>
      </w:r>
      <w:r w:rsidRPr="00124226">
        <w:rPr>
          <w:rFonts w:ascii="Times New Roman" w:hAnsi="Times New Roman" w:cs="Times New Roman"/>
          <w:b/>
          <w:bCs/>
          <w:color w:val="0070C0"/>
          <w:sz w:val="24"/>
          <w:szCs w:val="24"/>
        </w:rPr>
        <w:t xml:space="preserve"> </w:t>
      </w:r>
      <w:r w:rsidRPr="00124226">
        <w:rPr>
          <w:rFonts w:ascii="Times New Roman" w:hAnsi="Times New Roman" w:cs="Times New Roman"/>
          <w:sz w:val="24"/>
          <w:szCs w:val="24"/>
        </w:rPr>
        <w:t>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 Standard Form (SF) 1511: Non-expenditure Transfer Authorization and is only permissible under specific circumstances). Although the normal balance for this account is debit, it is acceptable for this account to have a credit balance. This account does not close at year-end.</w:t>
      </w:r>
    </w:p>
    <w:p w14:paraId="0D8C73A5" w14:textId="77777777" w:rsidR="009A2884" w:rsidRPr="00124226" w:rsidRDefault="009A2884" w:rsidP="009A2884">
      <w:pPr>
        <w:spacing w:after="0" w:line="240" w:lineRule="auto"/>
        <w:rPr>
          <w:rFonts w:ascii="Times New Roman" w:hAnsi="Times New Roman" w:cs="Times New Roman"/>
          <w:sz w:val="24"/>
          <w:szCs w:val="24"/>
        </w:rPr>
      </w:pPr>
    </w:p>
    <w:p w14:paraId="603D2ECC" w14:textId="77777777" w:rsidR="009A2884" w:rsidRDefault="009A2884" w:rsidP="009A2884">
      <w:pPr>
        <w:pStyle w:val="Default"/>
      </w:pPr>
      <w:r w:rsidRPr="00124226">
        <w:rPr>
          <w:b/>
          <w:bCs/>
          <w:color w:val="auto"/>
        </w:rPr>
        <w:t>Justification:</w:t>
      </w:r>
      <w:r w:rsidRPr="00124226">
        <w:t xml:space="preserve">  Modify USSGL account to separate prior-year (existing USSGL account 416612) from current-year (existing USSGL account 416600).</w:t>
      </w:r>
    </w:p>
    <w:p w14:paraId="1DB97470" w14:textId="77777777" w:rsidR="00124226" w:rsidRPr="00124226" w:rsidRDefault="00124226" w:rsidP="009A2884">
      <w:pPr>
        <w:pStyle w:val="Default"/>
      </w:pPr>
    </w:p>
    <w:p w14:paraId="787B644A" w14:textId="77777777" w:rsidR="00124226" w:rsidRPr="00165164" w:rsidRDefault="00124226" w:rsidP="00124226">
      <w:pPr>
        <w:spacing w:after="0" w:line="240" w:lineRule="auto"/>
        <w:rPr>
          <w:rFonts w:ascii="Times New Roman" w:hAnsi="Times New Roman" w:cs="Times New Roman"/>
          <w:sz w:val="24"/>
          <w:szCs w:val="24"/>
        </w:rPr>
      </w:pPr>
      <w:r w:rsidRPr="00165164">
        <w:rPr>
          <w:rFonts w:ascii="Times New Roman" w:hAnsi="Times New Roman" w:cs="Times New Roman"/>
          <w:b/>
          <w:bCs/>
          <w:sz w:val="24"/>
          <w:szCs w:val="24"/>
        </w:rPr>
        <w:t>Account Title:</w:t>
      </w:r>
      <w:r w:rsidRPr="00165164">
        <w:rPr>
          <w:rFonts w:ascii="Times New Roman" w:hAnsi="Times New Roman" w:cs="Times New Roman"/>
          <w:sz w:val="24"/>
          <w:szCs w:val="24"/>
        </w:rPr>
        <w:t xml:space="preserve"> Allocations of Realized Authority - To Be Transferred From Invested Balances - Prior-Year</w:t>
      </w:r>
    </w:p>
    <w:p w14:paraId="30C355CF" w14:textId="77777777" w:rsidR="00124226" w:rsidRPr="00165164" w:rsidRDefault="00124226" w:rsidP="00124226">
      <w:pPr>
        <w:spacing w:after="0" w:line="240" w:lineRule="auto"/>
        <w:rPr>
          <w:rFonts w:ascii="Times New Roman" w:hAnsi="Times New Roman" w:cs="Times New Roman"/>
          <w:sz w:val="24"/>
          <w:szCs w:val="24"/>
        </w:rPr>
      </w:pPr>
      <w:r w:rsidRPr="00165164">
        <w:rPr>
          <w:rFonts w:ascii="Times New Roman" w:hAnsi="Times New Roman" w:cs="Times New Roman"/>
          <w:b/>
          <w:bCs/>
          <w:sz w:val="24"/>
          <w:szCs w:val="24"/>
        </w:rPr>
        <w:t>Account Number:</w:t>
      </w:r>
      <w:r w:rsidRPr="00165164">
        <w:rPr>
          <w:rFonts w:ascii="Times New Roman" w:hAnsi="Times New Roman" w:cs="Times New Roman"/>
          <w:sz w:val="24"/>
          <w:szCs w:val="24"/>
        </w:rPr>
        <w:t xml:space="preserve"> 416612</w:t>
      </w:r>
    </w:p>
    <w:p w14:paraId="50BFA178" w14:textId="77777777" w:rsidR="00124226" w:rsidRPr="00165164" w:rsidRDefault="00124226" w:rsidP="00124226">
      <w:pPr>
        <w:spacing w:after="0" w:line="240" w:lineRule="auto"/>
        <w:rPr>
          <w:rFonts w:ascii="Times New Roman" w:hAnsi="Times New Roman" w:cs="Times New Roman"/>
          <w:sz w:val="24"/>
          <w:szCs w:val="24"/>
        </w:rPr>
      </w:pPr>
      <w:r w:rsidRPr="00165164">
        <w:rPr>
          <w:rFonts w:ascii="Times New Roman" w:hAnsi="Times New Roman" w:cs="Times New Roman"/>
          <w:b/>
          <w:bCs/>
          <w:sz w:val="24"/>
          <w:szCs w:val="24"/>
        </w:rPr>
        <w:t>Normal Balance:</w:t>
      </w:r>
      <w:r w:rsidRPr="00165164">
        <w:rPr>
          <w:rFonts w:ascii="Times New Roman" w:hAnsi="Times New Roman" w:cs="Times New Roman"/>
          <w:sz w:val="24"/>
          <w:szCs w:val="24"/>
        </w:rPr>
        <w:t xml:space="preserve"> Debit</w:t>
      </w:r>
    </w:p>
    <w:p w14:paraId="62A24611" w14:textId="11315EEF" w:rsidR="00124226" w:rsidRPr="00165164" w:rsidRDefault="00124226" w:rsidP="00124226">
      <w:pPr>
        <w:spacing w:after="0" w:line="240" w:lineRule="auto"/>
        <w:rPr>
          <w:rFonts w:ascii="Times New Roman" w:hAnsi="Times New Roman" w:cs="Times New Roman"/>
          <w:color w:val="FF0000"/>
          <w:sz w:val="24"/>
          <w:szCs w:val="24"/>
        </w:rPr>
      </w:pPr>
      <w:r w:rsidRPr="00165164">
        <w:rPr>
          <w:rFonts w:ascii="Times New Roman" w:hAnsi="Times New Roman" w:cs="Times New Roman"/>
          <w:b/>
          <w:bCs/>
          <w:sz w:val="24"/>
          <w:szCs w:val="24"/>
        </w:rPr>
        <w:t>Definition:</w:t>
      </w:r>
      <w:r w:rsidRPr="00165164">
        <w:rPr>
          <w:rFonts w:ascii="Times New Roman" w:hAnsi="Times New Roman" w:cs="Times New Roman"/>
          <w:sz w:val="24"/>
          <w:szCs w:val="24"/>
        </w:rPr>
        <w:t xml:space="preserve"> The amount of undistributed funds of prior years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w:t>
      </w:r>
      <w:r w:rsidR="00165164" w:rsidRPr="00165164">
        <w:rPr>
          <w:rFonts w:ascii="Times New Roman" w:hAnsi="Times New Roman" w:cs="Times New Roman"/>
          <w:sz w:val="24"/>
          <w:szCs w:val="24"/>
        </w:rPr>
        <w:t xml:space="preserve"> </w:t>
      </w:r>
      <w:r w:rsidR="00165164" w:rsidRPr="00165164">
        <w:rPr>
          <w:rFonts w:ascii="Times New Roman" w:hAnsi="Times New Roman" w:cs="Times New Roman"/>
          <w:strike/>
          <w:color w:val="FF0000"/>
          <w:sz w:val="24"/>
          <w:szCs w:val="24"/>
          <w:highlight w:val="yellow"/>
        </w:rPr>
        <w:t>This USSGL account is to be recorded by the Corps of Engineers – Civil Works trust funds, which have investment authority.</w:t>
      </w:r>
      <w:r w:rsidRPr="00165164">
        <w:rPr>
          <w:rFonts w:ascii="Times New Roman" w:hAnsi="Times New Roman" w:cs="Times New Roman"/>
          <w:sz w:val="24"/>
          <w:szCs w:val="24"/>
        </w:rPr>
        <w:t xml:space="preserve"> This occurs before the request for an SF 1511: Non-expenditure Transfer Authorization and is only permissible under specific circumstances. Although the normal balance for this account is debit, it is acceptable for this account to have a credit balance. This account reflects activity that must adjust to zero before the period twelve adjusted trial balance submission. </w:t>
      </w:r>
      <w:r w:rsidR="00165164" w:rsidRPr="00165164">
        <w:rPr>
          <w:rFonts w:ascii="Times New Roman" w:hAnsi="Times New Roman" w:cs="Times New Roman"/>
          <w:strike/>
          <w:color w:val="FF0000"/>
          <w:sz w:val="24"/>
          <w:szCs w:val="24"/>
          <w:highlight w:val="yellow"/>
        </w:rPr>
        <w:t>Corp of Engineers – Civil Works use only.</w:t>
      </w:r>
    </w:p>
    <w:p w14:paraId="0666F357" w14:textId="77777777" w:rsidR="00124226" w:rsidRPr="00165164" w:rsidRDefault="00124226" w:rsidP="00124226">
      <w:pPr>
        <w:spacing w:after="0" w:line="240" w:lineRule="auto"/>
        <w:rPr>
          <w:rFonts w:ascii="Times New Roman" w:hAnsi="Times New Roman" w:cs="Times New Roman"/>
          <w:sz w:val="24"/>
          <w:szCs w:val="24"/>
        </w:rPr>
      </w:pPr>
    </w:p>
    <w:p w14:paraId="3691F911" w14:textId="77777777" w:rsidR="00124226" w:rsidRPr="00165164" w:rsidRDefault="00124226" w:rsidP="00124226">
      <w:pPr>
        <w:spacing w:after="0" w:line="240" w:lineRule="auto"/>
        <w:rPr>
          <w:rFonts w:ascii="Times New Roman" w:hAnsi="Times New Roman" w:cs="Times New Roman"/>
          <w:sz w:val="24"/>
          <w:szCs w:val="24"/>
        </w:rPr>
      </w:pPr>
      <w:r w:rsidRPr="00165164">
        <w:rPr>
          <w:rFonts w:ascii="Times New Roman" w:hAnsi="Times New Roman" w:cs="Times New Roman"/>
          <w:b/>
          <w:bCs/>
          <w:sz w:val="24"/>
          <w:szCs w:val="24"/>
        </w:rPr>
        <w:t>Justification:</w:t>
      </w:r>
      <w:r w:rsidRPr="00165164">
        <w:rPr>
          <w:rFonts w:ascii="Times New Roman" w:hAnsi="Times New Roman" w:cs="Times New Roman"/>
          <w:color w:val="0070C0"/>
          <w:sz w:val="24"/>
          <w:szCs w:val="24"/>
        </w:rPr>
        <w:t xml:space="preserve">  </w:t>
      </w:r>
      <w:r w:rsidRPr="00165164">
        <w:rPr>
          <w:rFonts w:ascii="Times New Roman" w:hAnsi="Times New Roman" w:cs="Times New Roman"/>
          <w:sz w:val="24"/>
          <w:szCs w:val="24"/>
        </w:rPr>
        <w:t>In addition to USACE, required for Department of the Interior allocation accounts associated with the National Parks and Public Land Legacy Restoration Fund as authorized by the Great American Outdoors Act.  GTAS validation will be added to limit access for use.</w:t>
      </w:r>
    </w:p>
    <w:p w14:paraId="304A3904" w14:textId="77777777" w:rsidR="009A2884" w:rsidRPr="00165164" w:rsidRDefault="009A2884" w:rsidP="00665F8B">
      <w:pPr>
        <w:spacing w:after="0" w:line="240" w:lineRule="auto"/>
        <w:rPr>
          <w:rFonts w:ascii="Times New Roman" w:hAnsi="Times New Roman" w:cs="Times New Roman"/>
          <w:sz w:val="24"/>
          <w:szCs w:val="24"/>
        </w:rPr>
      </w:pPr>
    </w:p>
    <w:p w14:paraId="1411C24A" w14:textId="77777777" w:rsidR="00124226" w:rsidRDefault="00124226" w:rsidP="00665F8B">
      <w:pPr>
        <w:spacing w:after="0" w:line="240" w:lineRule="auto"/>
        <w:rPr>
          <w:rFonts w:ascii="Times New Roman" w:hAnsi="Times New Roman" w:cs="Times New Roman"/>
          <w:sz w:val="24"/>
          <w:szCs w:val="24"/>
        </w:rPr>
      </w:pPr>
    </w:p>
    <w:p w14:paraId="619D6D38" w14:textId="77777777" w:rsidR="0044427A" w:rsidRDefault="0044427A" w:rsidP="00665F8B">
      <w:pPr>
        <w:spacing w:after="0" w:line="240" w:lineRule="auto"/>
        <w:rPr>
          <w:rFonts w:ascii="Times New Roman" w:hAnsi="Times New Roman" w:cs="Times New Roman"/>
          <w:sz w:val="24"/>
          <w:szCs w:val="24"/>
        </w:rPr>
      </w:pPr>
    </w:p>
    <w:p w14:paraId="4E9963A1" w14:textId="77777777" w:rsidR="0044427A" w:rsidRDefault="0044427A" w:rsidP="00665F8B">
      <w:pPr>
        <w:spacing w:after="0" w:line="240" w:lineRule="auto"/>
        <w:rPr>
          <w:rFonts w:ascii="Times New Roman" w:hAnsi="Times New Roman" w:cs="Times New Roman"/>
          <w:sz w:val="24"/>
          <w:szCs w:val="24"/>
        </w:rPr>
      </w:pPr>
    </w:p>
    <w:p w14:paraId="446F491B" w14:textId="77777777" w:rsidR="0044427A" w:rsidRDefault="0044427A" w:rsidP="00665F8B">
      <w:pPr>
        <w:spacing w:after="0" w:line="240" w:lineRule="auto"/>
        <w:rPr>
          <w:rFonts w:ascii="Times New Roman" w:hAnsi="Times New Roman" w:cs="Times New Roman"/>
          <w:sz w:val="24"/>
          <w:szCs w:val="24"/>
        </w:rPr>
      </w:pPr>
    </w:p>
    <w:p w14:paraId="52249D93" w14:textId="77777777" w:rsidR="009A2884" w:rsidRPr="00124226" w:rsidRDefault="009A2884" w:rsidP="009A2884">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Account Title:</w:t>
      </w:r>
      <w:r w:rsidRPr="00124226">
        <w:rPr>
          <w:rFonts w:ascii="Times New Roman" w:hAnsi="Times New Roman" w:cs="Times New Roman"/>
          <w:sz w:val="24"/>
          <w:szCs w:val="24"/>
        </w:rPr>
        <w:t xml:space="preserve"> Allocations of Realized Authority - Transferred From Invested Balances - </w:t>
      </w:r>
      <w:r w:rsidRPr="00124226">
        <w:rPr>
          <w:rFonts w:ascii="Times New Roman" w:hAnsi="Times New Roman" w:cs="Times New Roman"/>
          <w:b/>
          <w:bCs/>
          <w:color w:val="0070C0"/>
          <w:sz w:val="24"/>
          <w:szCs w:val="24"/>
          <w:highlight w:val="yellow"/>
        </w:rPr>
        <w:t>Current-Year</w:t>
      </w:r>
    </w:p>
    <w:p w14:paraId="61BDEC30" w14:textId="77777777" w:rsidR="009A2884" w:rsidRPr="00124226" w:rsidRDefault="009A2884" w:rsidP="009A2884">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Account Number:</w:t>
      </w:r>
      <w:r w:rsidRPr="00124226">
        <w:rPr>
          <w:rFonts w:ascii="Times New Roman" w:hAnsi="Times New Roman" w:cs="Times New Roman"/>
          <w:sz w:val="24"/>
          <w:szCs w:val="24"/>
        </w:rPr>
        <w:t xml:space="preserve"> 416700 </w:t>
      </w:r>
    </w:p>
    <w:p w14:paraId="4E1ADAD5" w14:textId="77777777" w:rsidR="009A2884" w:rsidRPr="00124226" w:rsidRDefault="009A2884" w:rsidP="009A2884">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Normal Balance:</w:t>
      </w:r>
      <w:r w:rsidRPr="00124226">
        <w:rPr>
          <w:rFonts w:ascii="Times New Roman" w:hAnsi="Times New Roman" w:cs="Times New Roman"/>
          <w:sz w:val="24"/>
          <w:szCs w:val="24"/>
        </w:rPr>
        <w:t xml:space="preserve"> Debit </w:t>
      </w:r>
    </w:p>
    <w:p w14:paraId="7749FEB5" w14:textId="37038B98" w:rsidR="009A2884" w:rsidRPr="00124226" w:rsidRDefault="009A2884" w:rsidP="009A2884">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Definition:</w:t>
      </w:r>
      <w:r w:rsidRPr="00124226">
        <w:rPr>
          <w:rFonts w:ascii="Times New Roman" w:hAnsi="Times New Roman" w:cs="Times New Roman"/>
          <w:sz w:val="24"/>
          <w:szCs w:val="24"/>
        </w:rPr>
        <w:t xml:space="preserve"> This account is used to record the net amount of realized authority and accomplished non-expenditure transfers during the fiscal year of current year </w:t>
      </w:r>
      <w:r w:rsidRPr="00124226">
        <w:rPr>
          <w:rFonts w:ascii="Times New Roman" w:hAnsi="Times New Roman" w:cs="Times New Roman"/>
          <w:b/>
          <w:bCs/>
          <w:color w:val="0070C0"/>
          <w:sz w:val="24"/>
          <w:szCs w:val="24"/>
          <w:highlight w:val="yellow"/>
        </w:rPr>
        <w:t>budget</w:t>
      </w:r>
      <w:r w:rsidRPr="00124226">
        <w:rPr>
          <w:rFonts w:ascii="Times New Roman" w:hAnsi="Times New Roman" w:cs="Times New Roman"/>
          <w:sz w:val="24"/>
          <w:szCs w:val="24"/>
        </w:rPr>
        <w:t xml:space="preserve"> </w:t>
      </w:r>
      <w:r w:rsidRPr="00124226">
        <w:rPr>
          <w:rFonts w:ascii="Times New Roman" w:hAnsi="Times New Roman" w:cs="Times New Roman"/>
          <w:strike/>
          <w:color w:val="FF0000"/>
          <w:sz w:val="24"/>
          <w:szCs w:val="24"/>
          <w:highlight w:val="yellow"/>
        </w:rPr>
        <w:t>or prior year obligated</w:t>
      </w:r>
      <w:r w:rsidRPr="00124226">
        <w:rPr>
          <w:rFonts w:ascii="Times New Roman" w:hAnsi="Times New Roman" w:cs="Times New Roman"/>
          <w:sz w:val="24"/>
          <w:szCs w:val="24"/>
        </w:rPr>
        <w:t xml:space="preserve"> authority. Use this USSGL allocation account when the parent Treasury Appropriation Fund Symbol </w:t>
      </w:r>
      <w:r w:rsidRPr="00124226">
        <w:rPr>
          <w:rFonts w:ascii="Times New Roman" w:hAnsi="Times New Roman" w:cs="Times New Roman"/>
          <w:b/>
          <w:bCs/>
          <w:color w:val="0070C0"/>
          <w:sz w:val="24"/>
          <w:szCs w:val="24"/>
          <w:highlight w:val="yellow"/>
        </w:rPr>
        <w:t>(TAFS)</w:t>
      </w:r>
      <w:r w:rsidRPr="00124226">
        <w:rPr>
          <w:rFonts w:ascii="Times New Roman" w:hAnsi="Times New Roman" w:cs="Times New Roman"/>
          <w:sz w:val="24"/>
          <w:szCs w:val="24"/>
        </w:rPr>
        <w:t xml:space="preserve"> has investment authority; </w:t>
      </w:r>
      <w:proofErr w:type="gramStart"/>
      <w:r w:rsidRPr="00124226">
        <w:rPr>
          <w:rFonts w:ascii="Times New Roman" w:hAnsi="Times New Roman" w:cs="Times New Roman"/>
          <w:sz w:val="24"/>
          <w:szCs w:val="24"/>
        </w:rPr>
        <w:t>most commonly associated</w:t>
      </w:r>
      <w:proofErr w:type="gramEnd"/>
      <w:r w:rsidRPr="00124226">
        <w:rPr>
          <w:rFonts w:ascii="Times New Roman" w:hAnsi="Times New Roman" w:cs="Times New Roman"/>
          <w:sz w:val="24"/>
          <w:szCs w:val="24"/>
        </w:rPr>
        <w:t xml:space="preserve"> with trust and special funds. Although the normal balance for this account is debit, it is acceptable for this account to have a credit balance.</w:t>
      </w:r>
      <w:r w:rsidRPr="00124226">
        <w:rPr>
          <w:rFonts w:ascii="Times New Roman" w:hAnsi="Times New Roman" w:cs="Times New Roman"/>
          <w:b/>
          <w:bCs/>
          <w:color w:val="0070C0"/>
          <w:sz w:val="24"/>
          <w:szCs w:val="24"/>
        </w:rPr>
        <w:t xml:space="preserve"> </w:t>
      </w:r>
      <w:r w:rsidRPr="00124226">
        <w:rPr>
          <w:rFonts w:ascii="Times New Roman" w:hAnsi="Times New Roman" w:cs="Times New Roman"/>
          <w:b/>
          <w:bCs/>
          <w:color w:val="0070C0"/>
          <w:sz w:val="24"/>
          <w:szCs w:val="24"/>
          <w:highlight w:val="yellow"/>
        </w:rPr>
        <w:t>For situations where the executing TAFS has indefinite authority, the amount transferred must be obligated.</w:t>
      </w:r>
    </w:p>
    <w:p w14:paraId="4511ACF2" w14:textId="77777777" w:rsidR="009A2884" w:rsidRPr="00124226" w:rsidRDefault="009A2884" w:rsidP="00665F8B">
      <w:pPr>
        <w:spacing w:after="0" w:line="240" w:lineRule="auto"/>
        <w:rPr>
          <w:rFonts w:ascii="Times New Roman" w:hAnsi="Times New Roman" w:cs="Times New Roman"/>
          <w:sz w:val="24"/>
          <w:szCs w:val="24"/>
        </w:rPr>
      </w:pPr>
    </w:p>
    <w:p w14:paraId="391B1D5F" w14:textId="77777777" w:rsidR="009A2884" w:rsidRPr="00124226" w:rsidRDefault="009A2884" w:rsidP="009A2884">
      <w:pPr>
        <w:pStyle w:val="Default"/>
        <w:rPr>
          <w:color w:val="0070C0"/>
        </w:rPr>
      </w:pPr>
      <w:r w:rsidRPr="00124226">
        <w:rPr>
          <w:b/>
          <w:bCs/>
          <w:color w:val="auto"/>
        </w:rPr>
        <w:t xml:space="preserve">Justification: </w:t>
      </w:r>
      <w:r w:rsidRPr="00124226">
        <w:t>Modify USSGL account to separate prior-year (existing USSGL account 416712) from current-year (existing USSGL account 416700). Amended definition to clarify obligated status.</w:t>
      </w:r>
    </w:p>
    <w:p w14:paraId="1D1AFAF5" w14:textId="77777777" w:rsidR="009A2884" w:rsidRPr="00124226" w:rsidRDefault="009A2884" w:rsidP="00665F8B">
      <w:pPr>
        <w:spacing w:after="0" w:line="240" w:lineRule="auto"/>
        <w:rPr>
          <w:rFonts w:ascii="Times New Roman" w:hAnsi="Times New Roman" w:cs="Times New Roman"/>
          <w:sz w:val="24"/>
          <w:szCs w:val="24"/>
        </w:rPr>
      </w:pPr>
    </w:p>
    <w:p w14:paraId="02D89462" w14:textId="77777777" w:rsidR="00665F8B" w:rsidRPr="00124226" w:rsidRDefault="00665F8B" w:rsidP="00665F8B">
      <w:pPr>
        <w:spacing w:after="0" w:line="240" w:lineRule="auto"/>
        <w:rPr>
          <w:rFonts w:ascii="Times New Roman" w:hAnsi="Times New Roman" w:cs="Times New Roman"/>
          <w:sz w:val="24"/>
          <w:szCs w:val="24"/>
        </w:rPr>
      </w:pPr>
    </w:p>
    <w:p w14:paraId="4CF2F163" w14:textId="4412199D" w:rsidR="00665F8B" w:rsidRPr="00124226" w:rsidRDefault="00665F8B" w:rsidP="00665F8B">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Account Title:</w:t>
      </w:r>
      <w:r w:rsidRPr="00124226">
        <w:rPr>
          <w:rFonts w:ascii="Times New Roman" w:hAnsi="Times New Roman" w:cs="Times New Roman"/>
          <w:sz w:val="24"/>
          <w:szCs w:val="24"/>
        </w:rPr>
        <w:t xml:space="preserve"> Allocations of Realized Authority - Transferred From Invested Balances - Prior-Year</w:t>
      </w:r>
    </w:p>
    <w:p w14:paraId="1F23346A" w14:textId="77777777" w:rsidR="00665F8B" w:rsidRPr="00124226" w:rsidRDefault="00665F8B" w:rsidP="00665F8B">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Account Number:</w:t>
      </w:r>
      <w:r w:rsidRPr="00124226">
        <w:rPr>
          <w:rFonts w:ascii="Times New Roman" w:hAnsi="Times New Roman" w:cs="Times New Roman"/>
          <w:sz w:val="24"/>
          <w:szCs w:val="24"/>
        </w:rPr>
        <w:t xml:space="preserve"> 416712</w:t>
      </w:r>
    </w:p>
    <w:p w14:paraId="249E8AFF" w14:textId="77777777" w:rsidR="00665F8B" w:rsidRPr="00124226" w:rsidRDefault="00665F8B" w:rsidP="00665F8B">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Normal Balance:</w:t>
      </w:r>
      <w:r w:rsidRPr="00124226">
        <w:rPr>
          <w:rFonts w:ascii="Times New Roman" w:hAnsi="Times New Roman" w:cs="Times New Roman"/>
          <w:sz w:val="24"/>
          <w:szCs w:val="24"/>
        </w:rPr>
        <w:t xml:space="preserve"> Debit</w:t>
      </w:r>
    </w:p>
    <w:p w14:paraId="71470CDC" w14:textId="72D4D471" w:rsidR="00665F8B" w:rsidRPr="00124226" w:rsidRDefault="00665F8B" w:rsidP="00665F8B">
      <w:pPr>
        <w:spacing w:after="0" w:line="240" w:lineRule="auto"/>
        <w:rPr>
          <w:rFonts w:ascii="Times New Roman" w:hAnsi="Times New Roman" w:cs="Times New Roman"/>
          <w:sz w:val="24"/>
          <w:szCs w:val="24"/>
        </w:rPr>
      </w:pPr>
      <w:r w:rsidRPr="00124226">
        <w:rPr>
          <w:rFonts w:ascii="Times New Roman" w:hAnsi="Times New Roman" w:cs="Times New Roman"/>
          <w:b/>
          <w:bCs/>
          <w:sz w:val="24"/>
          <w:szCs w:val="24"/>
        </w:rPr>
        <w:t>Definition:</w:t>
      </w:r>
      <w:r w:rsidRPr="00124226">
        <w:rPr>
          <w:rFonts w:ascii="Times New Roman" w:hAnsi="Times New Roman" w:cs="Times New Roman"/>
          <w:sz w:val="24"/>
          <w:szCs w:val="24"/>
        </w:rPr>
        <w:t xml:space="preserve"> The net amount of realized authority and accomplished non-expenditure transfers during the fiscal year of prior-year </w:t>
      </w:r>
      <w:r w:rsidRPr="00723F8F">
        <w:rPr>
          <w:rFonts w:ascii="Times New Roman" w:hAnsi="Times New Roman" w:cs="Times New Roman"/>
          <w:b/>
          <w:bCs/>
          <w:color w:val="0070C0"/>
          <w:sz w:val="24"/>
          <w:szCs w:val="24"/>
          <w:highlight w:val="yellow"/>
        </w:rPr>
        <w:t>budget</w:t>
      </w:r>
      <w:r w:rsidR="00723F8F">
        <w:rPr>
          <w:rFonts w:ascii="Times New Roman" w:hAnsi="Times New Roman" w:cs="Times New Roman"/>
          <w:sz w:val="24"/>
          <w:szCs w:val="24"/>
        </w:rPr>
        <w:t xml:space="preserve"> </w:t>
      </w:r>
      <w:r w:rsidR="00723F8F" w:rsidRPr="00723F8F">
        <w:rPr>
          <w:rFonts w:ascii="Times New Roman" w:hAnsi="Times New Roman" w:cs="Times New Roman"/>
          <w:strike/>
          <w:color w:val="FF0000"/>
          <w:sz w:val="24"/>
          <w:szCs w:val="24"/>
          <w:highlight w:val="yellow"/>
        </w:rPr>
        <w:t>obligated</w:t>
      </w:r>
      <w:r w:rsidRPr="00124226">
        <w:rPr>
          <w:rFonts w:ascii="Times New Roman" w:hAnsi="Times New Roman" w:cs="Times New Roman"/>
          <w:sz w:val="24"/>
          <w:szCs w:val="24"/>
        </w:rPr>
        <w:t xml:space="preserve"> authority. Use this USSGL allocation account when the parent Treasury Appropriation Fund Symbol (TAFS) has investment authority.</w:t>
      </w:r>
      <w:r w:rsidR="00723F8F" w:rsidRPr="00723F8F">
        <w:rPr>
          <w:rFonts w:ascii="Times New Roman" w:hAnsi="Times New Roman" w:cs="Times New Roman"/>
          <w:strike/>
          <w:color w:val="FF0000"/>
          <w:sz w:val="24"/>
          <w:szCs w:val="24"/>
          <w:highlight w:val="yellow"/>
        </w:rPr>
        <w:t>; associated with Corps of Engineers – Civil Works trust funds.</w:t>
      </w:r>
      <w:r w:rsidRPr="00124226">
        <w:rPr>
          <w:rFonts w:ascii="Times New Roman" w:hAnsi="Times New Roman" w:cs="Times New Roman"/>
          <w:sz w:val="24"/>
          <w:szCs w:val="24"/>
        </w:rPr>
        <w:t xml:space="preserve"> Although the normal balance for this account is debit, it is acceptable for this account to have a credit balance.</w:t>
      </w:r>
      <w:r w:rsidR="00723F8F">
        <w:rPr>
          <w:rFonts w:ascii="Times New Roman" w:hAnsi="Times New Roman" w:cs="Times New Roman"/>
          <w:sz w:val="24"/>
          <w:szCs w:val="24"/>
        </w:rPr>
        <w:t xml:space="preserve"> </w:t>
      </w:r>
      <w:r w:rsidR="00723F8F" w:rsidRPr="00723F8F">
        <w:rPr>
          <w:rFonts w:ascii="Times New Roman" w:hAnsi="Times New Roman" w:cs="Times New Roman"/>
          <w:strike/>
          <w:color w:val="FF0000"/>
          <w:sz w:val="24"/>
          <w:szCs w:val="24"/>
          <w:highlight w:val="yellow"/>
        </w:rPr>
        <w:t>Corps of Engineers – Civil Works use only.</w:t>
      </w:r>
      <w:r w:rsidRPr="00723F8F">
        <w:rPr>
          <w:rFonts w:ascii="Times New Roman" w:hAnsi="Times New Roman" w:cs="Times New Roman"/>
          <w:strike/>
          <w:sz w:val="24"/>
          <w:szCs w:val="24"/>
        </w:rPr>
        <w:t xml:space="preserve"> </w:t>
      </w:r>
      <w:r w:rsidRPr="00124226">
        <w:rPr>
          <w:rFonts w:ascii="Times New Roman" w:hAnsi="Times New Roman" w:cs="Times New Roman"/>
          <w:sz w:val="24"/>
          <w:szCs w:val="24"/>
        </w:rPr>
        <w:t xml:space="preserve"> </w:t>
      </w:r>
      <w:r w:rsidRPr="00723F8F">
        <w:rPr>
          <w:rFonts w:ascii="Times New Roman" w:hAnsi="Times New Roman" w:cs="Times New Roman"/>
          <w:b/>
          <w:bCs/>
          <w:color w:val="0070C0"/>
          <w:sz w:val="24"/>
          <w:szCs w:val="24"/>
          <w:highlight w:val="yellow"/>
        </w:rPr>
        <w:t>For situations where the executing TAFS has indefinite authority, the amount transferred must be obligated.</w:t>
      </w:r>
    </w:p>
    <w:p w14:paraId="4DC544EA" w14:textId="77777777" w:rsidR="00665F8B" w:rsidRPr="00124226" w:rsidRDefault="00665F8B" w:rsidP="00665F8B">
      <w:pPr>
        <w:spacing w:after="0" w:line="240" w:lineRule="auto"/>
        <w:rPr>
          <w:rFonts w:ascii="Times New Roman" w:hAnsi="Times New Roman" w:cs="Times New Roman"/>
          <w:sz w:val="24"/>
          <w:szCs w:val="24"/>
        </w:rPr>
      </w:pPr>
    </w:p>
    <w:p w14:paraId="23F19B8D" w14:textId="77777777" w:rsidR="00665F8B" w:rsidRPr="00124226" w:rsidRDefault="00665F8B" w:rsidP="00665F8B">
      <w:pPr>
        <w:spacing w:after="0" w:line="240" w:lineRule="auto"/>
        <w:rPr>
          <w:rFonts w:ascii="Times New Roman" w:hAnsi="Times New Roman" w:cs="Times New Roman"/>
          <w:sz w:val="24"/>
          <w:szCs w:val="24"/>
        </w:rPr>
      </w:pPr>
      <w:bookmarkStart w:id="0" w:name="_Hlk160645449"/>
      <w:r w:rsidRPr="00124226">
        <w:rPr>
          <w:rFonts w:ascii="Times New Roman" w:hAnsi="Times New Roman" w:cs="Times New Roman"/>
          <w:b/>
          <w:bCs/>
          <w:color w:val="000000" w:themeColor="text1"/>
          <w:sz w:val="24"/>
          <w:szCs w:val="24"/>
        </w:rPr>
        <w:t>Justification:</w:t>
      </w:r>
      <w:r w:rsidRPr="00124226">
        <w:rPr>
          <w:rFonts w:ascii="Times New Roman" w:hAnsi="Times New Roman" w:cs="Times New Roman"/>
          <w:color w:val="0070C0"/>
          <w:sz w:val="24"/>
          <w:szCs w:val="24"/>
        </w:rPr>
        <w:t xml:space="preserve">  </w:t>
      </w:r>
      <w:r w:rsidRPr="00124226">
        <w:rPr>
          <w:rFonts w:ascii="Times New Roman" w:hAnsi="Times New Roman" w:cs="Times New Roman"/>
          <w:sz w:val="24"/>
          <w:szCs w:val="24"/>
        </w:rPr>
        <w:t xml:space="preserve">In </w:t>
      </w:r>
      <w:bookmarkEnd w:id="0"/>
      <w:r w:rsidRPr="00124226">
        <w:rPr>
          <w:rFonts w:ascii="Times New Roman" w:hAnsi="Times New Roman" w:cs="Times New Roman"/>
          <w:sz w:val="24"/>
          <w:szCs w:val="24"/>
        </w:rPr>
        <w:t>addition to USACE, required for Department of the Interior allocation accounts associated with the National Parks and Public Land Legacy Restoration Fund as authorized by the Great American Outdoors Act.  GTAS validation will be added to limit access for use. Amended definition to clarify obligated status.</w:t>
      </w:r>
    </w:p>
    <w:p w14:paraId="10169230" w14:textId="77777777" w:rsidR="00665F8B" w:rsidRDefault="00665F8B" w:rsidP="00665F8B">
      <w:pPr>
        <w:spacing w:after="0" w:line="240" w:lineRule="auto"/>
        <w:rPr>
          <w:rFonts w:ascii="Times New Roman" w:hAnsi="Times New Roman" w:cs="Times New Roman"/>
          <w:sz w:val="24"/>
          <w:szCs w:val="24"/>
        </w:rPr>
      </w:pPr>
    </w:p>
    <w:p w14:paraId="4462FFA9" w14:textId="77777777" w:rsidR="00653AF2" w:rsidRDefault="00653AF2" w:rsidP="00665F8B">
      <w:pPr>
        <w:spacing w:after="0" w:line="240" w:lineRule="auto"/>
        <w:rPr>
          <w:rFonts w:ascii="Times New Roman" w:hAnsi="Times New Roman" w:cs="Times New Roman"/>
          <w:sz w:val="24"/>
          <w:szCs w:val="24"/>
        </w:rPr>
      </w:pPr>
    </w:p>
    <w:p w14:paraId="2C239985" w14:textId="77777777" w:rsidR="00653AF2" w:rsidRDefault="00653AF2" w:rsidP="00665F8B">
      <w:pPr>
        <w:spacing w:after="0" w:line="240" w:lineRule="auto"/>
        <w:rPr>
          <w:rFonts w:ascii="Times New Roman" w:hAnsi="Times New Roman" w:cs="Times New Roman"/>
          <w:sz w:val="24"/>
          <w:szCs w:val="24"/>
        </w:rPr>
      </w:pPr>
    </w:p>
    <w:p w14:paraId="6AD89619" w14:textId="77777777" w:rsidR="00653AF2" w:rsidRDefault="00653AF2" w:rsidP="00665F8B">
      <w:pPr>
        <w:spacing w:after="0" w:line="240" w:lineRule="auto"/>
        <w:rPr>
          <w:rFonts w:ascii="Times New Roman" w:hAnsi="Times New Roman" w:cs="Times New Roman"/>
          <w:sz w:val="24"/>
          <w:szCs w:val="24"/>
        </w:rPr>
      </w:pPr>
    </w:p>
    <w:p w14:paraId="1DF49211" w14:textId="77777777" w:rsidR="00653AF2" w:rsidRDefault="00653AF2" w:rsidP="00665F8B">
      <w:pPr>
        <w:spacing w:after="0" w:line="240" w:lineRule="auto"/>
        <w:rPr>
          <w:rFonts w:ascii="Times New Roman" w:hAnsi="Times New Roman" w:cs="Times New Roman"/>
          <w:sz w:val="24"/>
          <w:szCs w:val="24"/>
        </w:rPr>
      </w:pPr>
    </w:p>
    <w:p w14:paraId="3821E316" w14:textId="77777777" w:rsidR="00653AF2" w:rsidRDefault="00653AF2" w:rsidP="00665F8B">
      <w:pPr>
        <w:spacing w:after="0" w:line="240" w:lineRule="auto"/>
        <w:rPr>
          <w:rFonts w:ascii="Times New Roman" w:hAnsi="Times New Roman" w:cs="Times New Roman"/>
          <w:sz w:val="24"/>
          <w:szCs w:val="24"/>
        </w:rPr>
      </w:pPr>
    </w:p>
    <w:p w14:paraId="4AC5BD06" w14:textId="77777777" w:rsidR="00653AF2" w:rsidRDefault="00653AF2" w:rsidP="00665F8B">
      <w:pPr>
        <w:spacing w:after="0" w:line="240" w:lineRule="auto"/>
        <w:rPr>
          <w:rFonts w:ascii="Times New Roman" w:hAnsi="Times New Roman" w:cs="Times New Roman"/>
          <w:sz w:val="24"/>
          <w:szCs w:val="24"/>
        </w:rPr>
      </w:pPr>
    </w:p>
    <w:p w14:paraId="2E53D69E" w14:textId="77777777" w:rsidR="00653AF2" w:rsidRDefault="00653AF2" w:rsidP="00665F8B">
      <w:pPr>
        <w:spacing w:after="0" w:line="240" w:lineRule="auto"/>
        <w:rPr>
          <w:rFonts w:ascii="Times New Roman" w:hAnsi="Times New Roman" w:cs="Times New Roman"/>
          <w:sz w:val="24"/>
          <w:szCs w:val="24"/>
        </w:rPr>
      </w:pPr>
    </w:p>
    <w:p w14:paraId="6EC6D60A" w14:textId="77777777" w:rsidR="00653AF2" w:rsidRPr="00653AF2" w:rsidRDefault="00653AF2" w:rsidP="00653AF2">
      <w:pPr>
        <w:pStyle w:val="Default"/>
        <w:rPr>
          <w:b/>
          <w:bCs/>
        </w:rPr>
      </w:pPr>
      <w:bookmarkStart w:id="1" w:name="_Hlk163049579"/>
      <w:r w:rsidRPr="00653AF2">
        <w:rPr>
          <w:b/>
          <w:bCs/>
        </w:rPr>
        <w:t xml:space="preserve">Account Title: </w:t>
      </w:r>
      <w:r w:rsidRPr="00653AF2">
        <w:t>Non-Allocation Transfers of Invested Balances - Receivable</w:t>
      </w:r>
      <w:bookmarkStart w:id="2" w:name="_Hlk160646387"/>
      <w:r w:rsidRPr="00653AF2">
        <w:t xml:space="preserve"> - </w:t>
      </w:r>
      <w:r w:rsidRPr="00B26F16">
        <w:rPr>
          <w:b/>
          <w:bCs/>
          <w:color w:val="0070C0"/>
          <w:highlight w:val="yellow"/>
        </w:rPr>
        <w:t xml:space="preserve">Current-Year </w:t>
      </w:r>
      <w:bookmarkEnd w:id="2"/>
    </w:p>
    <w:p w14:paraId="5D0E3345" w14:textId="77777777" w:rsidR="00653AF2" w:rsidRPr="00653AF2" w:rsidRDefault="00653AF2" w:rsidP="00653AF2">
      <w:pPr>
        <w:pStyle w:val="Default"/>
        <w:rPr>
          <w:b/>
          <w:bCs/>
        </w:rPr>
      </w:pPr>
      <w:r w:rsidRPr="00653AF2">
        <w:rPr>
          <w:b/>
          <w:bCs/>
        </w:rPr>
        <w:t xml:space="preserve">Account Number: </w:t>
      </w:r>
      <w:r w:rsidRPr="00653AF2">
        <w:t>417100</w:t>
      </w:r>
      <w:r w:rsidRPr="00653AF2">
        <w:rPr>
          <w:b/>
          <w:bCs/>
        </w:rPr>
        <w:t xml:space="preserve"> </w:t>
      </w:r>
    </w:p>
    <w:p w14:paraId="04D1BECE" w14:textId="77777777" w:rsidR="00653AF2" w:rsidRPr="00653AF2" w:rsidRDefault="00653AF2" w:rsidP="00653AF2">
      <w:pPr>
        <w:pStyle w:val="Default"/>
      </w:pPr>
      <w:r w:rsidRPr="00653AF2">
        <w:rPr>
          <w:b/>
          <w:bCs/>
        </w:rPr>
        <w:t>Normal Balance</w:t>
      </w:r>
      <w:r w:rsidRPr="00653AF2">
        <w:t xml:space="preserve">: Debit </w:t>
      </w:r>
    </w:p>
    <w:p w14:paraId="7D91850D" w14:textId="3990CEBB" w:rsidR="00653AF2" w:rsidRPr="00653AF2" w:rsidRDefault="00653AF2" w:rsidP="00653AF2">
      <w:pPr>
        <w:spacing w:after="0" w:line="240" w:lineRule="auto"/>
        <w:rPr>
          <w:rFonts w:ascii="Times New Roman" w:hAnsi="Times New Roman" w:cs="Times New Roman"/>
          <w:sz w:val="24"/>
          <w:szCs w:val="24"/>
        </w:rPr>
      </w:pPr>
      <w:r w:rsidRPr="00653AF2">
        <w:rPr>
          <w:rFonts w:ascii="Times New Roman" w:hAnsi="Times New Roman" w:cs="Times New Roman"/>
          <w:b/>
          <w:bCs/>
          <w:sz w:val="24"/>
          <w:szCs w:val="24"/>
        </w:rPr>
        <w:t>Definition</w:t>
      </w:r>
      <w:r w:rsidRPr="00653AF2">
        <w:rPr>
          <w:rFonts w:ascii="Times New Roman" w:hAnsi="Times New Roman" w:cs="Times New Roman"/>
          <w:sz w:val="24"/>
          <w:szCs w:val="24"/>
        </w:rPr>
        <w:t xml:space="preserve">: This account is used to record the amount to be transferred in of unrealized non-expenditure transfers of </w:t>
      </w:r>
      <w:r w:rsidRPr="00653AF2">
        <w:rPr>
          <w:rFonts w:ascii="Times New Roman" w:hAnsi="Times New Roman" w:cs="Times New Roman"/>
          <w:b/>
          <w:bCs/>
          <w:color w:val="0070C0"/>
          <w:sz w:val="24"/>
          <w:szCs w:val="24"/>
          <w:highlight w:val="yellow"/>
        </w:rPr>
        <w:t>current year</w:t>
      </w:r>
      <w:r w:rsidRPr="00653AF2">
        <w:rPr>
          <w:rFonts w:ascii="Times New Roman" w:hAnsi="Times New Roman" w:cs="Times New Roman"/>
          <w:sz w:val="24"/>
          <w:szCs w:val="24"/>
        </w:rPr>
        <w:t xml:space="preserve">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 Standard Form (SF) 1151: Non-expenditure Transfer Authorization</w:t>
      </w:r>
      <w:r>
        <w:rPr>
          <w:rFonts w:ascii="Times New Roman" w:hAnsi="Times New Roman" w:cs="Times New Roman"/>
          <w:sz w:val="24"/>
          <w:szCs w:val="24"/>
        </w:rPr>
        <w:t>,</w:t>
      </w:r>
      <w:r w:rsidRPr="00653AF2">
        <w:rPr>
          <w:rFonts w:ascii="Times New Roman" w:hAnsi="Times New Roman" w:cs="Times New Roman"/>
          <w:sz w:val="24"/>
          <w:szCs w:val="24"/>
        </w:rPr>
        <w:t xml:space="preserve"> and is only permissible under specific circumstances). Although the normal balance for this account is debit, it is acceptable in certain instances for this account to have a credit balance. This account does not close at year-end.</w:t>
      </w:r>
    </w:p>
    <w:p w14:paraId="52AA47F8" w14:textId="77777777" w:rsidR="00653AF2" w:rsidRPr="00653AF2" w:rsidRDefault="00653AF2" w:rsidP="00653AF2">
      <w:pPr>
        <w:spacing w:after="0" w:line="240" w:lineRule="auto"/>
        <w:rPr>
          <w:rFonts w:ascii="Times New Roman" w:hAnsi="Times New Roman" w:cs="Times New Roman"/>
          <w:sz w:val="24"/>
          <w:szCs w:val="24"/>
        </w:rPr>
      </w:pPr>
    </w:p>
    <w:p w14:paraId="6997E5DC" w14:textId="77777777" w:rsidR="00653AF2" w:rsidRDefault="00653AF2" w:rsidP="00653AF2">
      <w:pPr>
        <w:pStyle w:val="Default"/>
      </w:pPr>
      <w:r w:rsidRPr="00653AF2">
        <w:rPr>
          <w:b/>
          <w:bCs/>
          <w:color w:val="auto"/>
        </w:rPr>
        <w:t>Justification:</w:t>
      </w:r>
      <w:r w:rsidRPr="00653AF2">
        <w:t xml:space="preserve">  Modify USSGL account to separate prior-year (new USSGL account 417112) from current-year (existing USSGL account 417100).</w:t>
      </w:r>
    </w:p>
    <w:p w14:paraId="3F4FD58D" w14:textId="77777777" w:rsidR="00653AF2" w:rsidRDefault="00653AF2" w:rsidP="00653AF2">
      <w:pPr>
        <w:pStyle w:val="Default"/>
      </w:pPr>
    </w:p>
    <w:p w14:paraId="3E541786" w14:textId="77777777" w:rsidR="00653AF2" w:rsidRPr="00653AF2" w:rsidRDefault="00653AF2" w:rsidP="00653AF2">
      <w:pPr>
        <w:pStyle w:val="Default"/>
      </w:pPr>
      <w:r w:rsidRPr="00653AF2">
        <w:rPr>
          <w:b/>
          <w:bCs/>
        </w:rPr>
        <w:t>Account Title</w:t>
      </w:r>
      <w:r w:rsidRPr="00653AF2">
        <w:t xml:space="preserve">: Non-Allocation Transfers of Invested Balances - Payable - </w:t>
      </w:r>
      <w:r w:rsidRPr="00653AF2">
        <w:rPr>
          <w:b/>
          <w:bCs/>
          <w:color w:val="0070C0"/>
          <w:highlight w:val="yellow"/>
        </w:rPr>
        <w:t>Current-Year</w:t>
      </w:r>
      <w:r w:rsidRPr="00653AF2">
        <w:t xml:space="preserve"> </w:t>
      </w:r>
    </w:p>
    <w:p w14:paraId="3B17525C" w14:textId="77777777" w:rsidR="00653AF2" w:rsidRPr="00653AF2" w:rsidRDefault="00653AF2" w:rsidP="00653AF2">
      <w:pPr>
        <w:pStyle w:val="Default"/>
      </w:pPr>
      <w:r w:rsidRPr="00653AF2">
        <w:rPr>
          <w:b/>
          <w:bCs/>
        </w:rPr>
        <w:t>Account Number</w:t>
      </w:r>
      <w:r w:rsidRPr="00653AF2">
        <w:t xml:space="preserve">: 417200 </w:t>
      </w:r>
    </w:p>
    <w:p w14:paraId="08BF75BB" w14:textId="77777777" w:rsidR="00653AF2" w:rsidRPr="00653AF2" w:rsidRDefault="00653AF2" w:rsidP="00653AF2">
      <w:pPr>
        <w:pStyle w:val="Default"/>
      </w:pPr>
      <w:r w:rsidRPr="00653AF2">
        <w:rPr>
          <w:b/>
          <w:bCs/>
        </w:rPr>
        <w:t>Normal Balance</w:t>
      </w:r>
      <w:r w:rsidRPr="00653AF2">
        <w:t xml:space="preserve">: Credit </w:t>
      </w:r>
    </w:p>
    <w:p w14:paraId="34144666" w14:textId="77777777" w:rsidR="00653AF2" w:rsidRPr="00653AF2" w:rsidRDefault="00653AF2" w:rsidP="00653AF2">
      <w:pPr>
        <w:pStyle w:val="Default"/>
      </w:pPr>
      <w:r w:rsidRPr="00653AF2">
        <w:rPr>
          <w:b/>
          <w:bCs/>
        </w:rPr>
        <w:t>Definition</w:t>
      </w:r>
      <w:r w:rsidRPr="00653AF2">
        <w:t xml:space="preserve">: This account is used to record the amount to be transferred out of unrealized non-expenditure transfers of </w:t>
      </w:r>
      <w:r w:rsidRPr="00653AF2">
        <w:rPr>
          <w:b/>
          <w:bCs/>
          <w:color w:val="0070C0"/>
          <w:highlight w:val="yellow"/>
        </w:rPr>
        <w:t>current year</w:t>
      </w:r>
      <w:r w:rsidRPr="00653AF2">
        <w:t xml:space="preserve">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credit, it is acceptable in certain instances for this account to have a debit balance. This account does not close at year-end. </w:t>
      </w:r>
    </w:p>
    <w:p w14:paraId="08DD8B21" w14:textId="77777777" w:rsidR="00653AF2" w:rsidRPr="00653AF2" w:rsidRDefault="00653AF2" w:rsidP="00653AF2">
      <w:pPr>
        <w:pStyle w:val="Default"/>
      </w:pPr>
    </w:p>
    <w:p w14:paraId="362F1CD2" w14:textId="77777777" w:rsidR="00653AF2" w:rsidRDefault="00653AF2" w:rsidP="00653AF2">
      <w:pPr>
        <w:pStyle w:val="Default"/>
      </w:pPr>
      <w:r w:rsidRPr="00653AF2">
        <w:rPr>
          <w:b/>
          <w:bCs/>
          <w:color w:val="auto"/>
        </w:rPr>
        <w:t>Justification:</w:t>
      </w:r>
      <w:r w:rsidRPr="00653AF2">
        <w:rPr>
          <w:color w:val="auto"/>
        </w:rPr>
        <w:t xml:space="preserve">  </w:t>
      </w:r>
      <w:r w:rsidRPr="00653AF2">
        <w:t>Modify USSGL account to separate prior-year (new USSGL account 417212) from current-year (existing USSGL account 417200).</w:t>
      </w:r>
    </w:p>
    <w:p w14:paraId="4093EFA2" w14:textId="77777777" w:rsidR="00682338" w:rsidRDefault="00682338" w:rsidP="00653AF2">
      <w:pPr>
        <w:pStyle w:val="Default"/>
      </w:pPr>
    </w:p>
    <w:bookmarkEnd w:id="1"/>
    <w:p w14:paraId="3462BCFA" w14:textId="77777777" w:rsidR="00682338" w:rsidRDefault="00682338" w:rsidP="00653AF2">
      <w:pPr>
        <w:pStyle w:val="Default"/>
      </w:pPr>
    </w:p>
    <w:p w14:paraId="3E1A9704" w14:textId="77777777" w:rsidR="00682338" w:rsidRDefault="00682338" w:rsidP="00653AF2">
      <w:pPr>
        <w:pStyle w:val="Default"/>
      </w:pPr>
    </w:p>
    <w:p w14:paraId="7B00E992" w14:textId="77777777" w:rsidR="00682338" w:rsidRDefault="00682338" w:rsidP="00653AF2">
      <w:pPr>
        <w:pStyle w:val="Default"/>
      </w:pPr>
    </w:p>
    <w:p w14:paraId="3A0F13D7" w14:textId="77777777" w:rsidR="00682338" w:rsidRDefault="00682338" w:rsidP="00653AF2">
      <w:pPr>
        <w:pStyle w:val="Default"/>
      </w:pPr>
    </w:p>
    <w:p w14:paraId="0FA56592" w14:textId="77777777" w:rsidR="00682338" w:rsidRDefault="00682338" w:rsidP="00653AF2">
      <w:pPr>
        <w:pStyle w:val="Default"/>
      </w:pPr>
    </w:p>
    <w:p w14:paraId="3199C6C8" w14:textId="77777777" w:rsidR="00653AF2" w:rsidRDefault="00653AF2" w:rsidP="00653AF2">
      <w:pPr>
        <w:pStyle w:val="Default"/>
      </w:pPr>
    </w:p>
    <w:p w14:paraId="70908210" w14:textId="77777777" w:rsidR="00653AF2" w:rsidRPr="00653AF2" w:rsidRDefault="00653AF2" w:rsidP="00653AF2">
      <w:pPr>
        <w:pStyle w:val="Default"/>
      </w:pPr>
      <w:bookmarkStart w:id="3" w:name="_Hlk163049597"/>
      <w:r w:rsidRPr="00653AF2">
        <w:rPr>
          <w:b/>
          <w:bCs/>
        </w:rPr>
        <w:lastRenderedPageBreak/>
        <w:t>Account Title</w:t>
      </w:r>
      <w:r w:rsidRPr="00653AF2">
        <w:t xml:space="preserve">: Non-Allocation Transfers of Invested Balances - Transferred - </w:t>
      </w:r>
      <w:r w:rsidRPr="00653AF2">
        <w:rPr>
          <w:b/>
          <w:bCs/>
          <w:color w:val="0070C0"/>
          <w:highlight w:val="yellow"/>
        </w:rPr>
        <w:t>Current-Year</w:t>
      </w:r>
      <w:r w:rsidRPr="00653AF2">
        <w:t xml:space="preserve"> </w:t>
      </w:r>
    </w:p>
    <w:p w14:paraId="72DA8ABB" w14:textId="77777777" w:rsidR="00653AF2" w:rsidRPr="00653AF2" w:rsidRDefault="00653AF2" w:rsidP="00653AF2">
      <w:pPr>
        <w:pStyle w:val="Default"/>
      </w:pPr>
      <w:r w:rsidRPr="00653AF2">
        <w:rPr>
          <w:b/>
          <w:bCs/>
        </w:rPr>
        <w:t>Account Number</w:t>
      </w:r>
      <w:r w:rsidRPr="00653AF2">
        <w:t xml:space="preserve">: 417300 </w:t>
      </w:r>
    </w:p>
    <w:p w14:paraId="45092FEE" w14:textId="77777777" w:rsidR="00653AF2" w:rsidRPr="00653AF2" w:rsidRDefault="00653AF2" w:rsidP="00653AF2">
      <w:pPr>
        <w:pStyle w:val="Default"/>
      </w:pPr>
      <w:r w:rsidRPr="00653AF2">
        <w:rPr>
          <w:b/>
          <w:bCs/>
        </w:rPr>
        <w:t>Normal Balance</w:t>
      </w:r>
      <w:r w:rsidRPr="00653AF2">
        <w:t xml:space="preserve">: Debit </w:t>
      </w:r>
    </w:p>
    <w:p w14:paraId="0C808B04" w14:textId="77777777" w:rsidR="00653AF2" w:rsidRPr="00653AF2" w:rsidRDefault="00653AF2" w:rsidP="00653AF2">
      <w:pPr>
        <w:spacing w:after="0" w:line="240" w:lineRule="auto"/>
        <w:rPr>
          <w:rFonts w:ascii="Times New Roman" w:hAnsi="Times New Roman" w:cs="Times New Roman"/>
          <w:sz w:val="24"/>
          <w:szCs w:val="24"/>
        </w:rPr>
      </w:pPr>
      <w:r w:rsidRPr="00653AF2">
        <w:rPr>
          <w:rFonts w:ascii="Times New Roman" w:hAnsi="Times New Roman" w:cs="Times New Roman"/>
          <w:b/>
          <w:bCs/>
          <w:sz w:val="24"/>
          <w:szCs w:val="24"/>
        </w:rPr>
        <w:t>Definition</w:t>
      </w:r>
      <w:r w:rsidRPr="00653AF2">
        <w:rPr>
          <w:rFonts w:ascii="Times New Roman" w:hAnsi="Times New Roman" w:cs="Times New Roman"/>
          <w:sz w:val="24"/>
          <w:szCs w:val="24"/>
        </w:rPr>
        <w:t xml:space="preserve">: This account is used to record the amount of non-expenditure transfers of </w:t>
      </w:r>
      <w:bookmarkStart w:id="4" w:name="_Hlk160646464"/>
      <w:r w:rsidRPr="00653AF2">
        <w:rPr>
          <w:rFonts w:ascii="Times New Roman" w:hAnsi="Times New Roman" w:cs="Times New Roman"/>
          <w:b/>
          <w:bCs/>
          <w:color w:val="0070C0"/>
          <w:sz w:val="24"/>
          <w:szCs w:val="24"/>
          <w:highlight w:val="yellow"/>
        </w:rPr>
        <w:t>current year</w:t>
      </w:r>
      <w:r w:rsidRPr="00653AF2">
        <w:rPr>
          <w:rFonts w:ascii="Times New Roman" w:hAnsi="Times New Roman" w:cs="Times New Roman"/>
          <w:b/>
          <w:bCs/>
          <w:color w:val="0070C0"/>
          <w:sz w:val="24"/>
          <w:szCs w:val="24"/>
        </w:rPr>
        <w:t xml:space="preserve"> </w:t>
      </w:r>
      <w:bookmarkEnd w:id="4"/>
      <w:r w:rsidRPr="00653AF2">
        <w:rPr>
          <w:rFonts w:ascii="Times New Roman" w:hAnsi="Times New Roman" w:cs="Times New Roman"/>
          <w:sz w:val="24"/>
          <w:szCs w:val="24"/>
        </w:rPr>
        <w:t>invested balances accomplished via a Standard Form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14:paraId="3A61CBDB" w14:textId="77777777" w:rsidR="00653AF2" w:rsidRPr="00653AF2" w:rsidRDefault="00653AF2" w:rsidP="00653AF2">
      <w:pPr>
        <w:spacing w:after="0" w:line="240" w:lineRule="auto"/>
        <w:rPr>
          <w:rFonts w:ascii="Times New Roman" w:hAnsi="Times New Roman" w:cs="Times New Roman"/>
          <w:sz w:val="24"/>
          <w:szCs w:val="24"/>
        </w:rPr>
      </w:pPr>
    </w:p>
    <w:p w14:paraId="54D65B43" w14:textId="77777777" w:rsidR="00653AF2" w:rsidRPr="00653AF2" w:rsidRDefault="00653AF2" w:rsidP="00653AF2">
      <w:pPr>
        <w:pStyle w:val="Default"/>
      </w:pPr>
      <w:r w:rsidRPr="00653AF2">
        <w:rPr>
          <w:b/>
          <w:bCs/>
          <w:color w:val="auto"/>
        </w:rPr>
        <w:t>Justification:</w:t>
      </w:r>
      <w:r w:rsidRPr="00653AF2">
        <w:rPr>
          <w:color w:val="auto"/>
        </w:rPr>
        <w:t xml:space="preserve">  </w:t>
      </w:r>
      <w:r w:rsidRPr="00653AF2">
        <w:t>Modify USSGL account to separate prior-year (new USSGL account 417312) from current-year (existing USSGL account 417300).</w:t>
      </w:r>
    </w:p>
    <w:p w14:paraId="043842AE" w14:textId="77777777" w:rsidR="00653AF2" w:rsidRPr="00653AF2" w:rsidRDefault="00653AF2" w:rsidP="00653AF2">
      <w:pPr>
        <w:pStyle w:val="Default"/>
      </w:pPr>
    </w:p>
    <w:bookmarkEnd w:id="3"/>
    <w:p w14:paraId="0F9C05E3" w14:textId="77777777" w:rsidR="00653AF2" w:rsidRPr="00653AF2" w:rsidRDefault="00653AF2" w:rsidP="00653AF2">
      <w:pPr>
        <w:pStyle w:val="Default"/>
      </w:pPr>
    </w:p>
    <w:p w14:paraId="19C031FB" w14:textId="77777777" w:rsidR="00653AF2" w:rsidRDefault="00653AF2" w:rsidP="00653AF2">
      <w:pPr>
        <w:pStyle w:val="Default"/>
      </w:pPr>
    </w:p>
    <w:p w14:paraId="59F894E6" w14:textId="77777777" w:rsidR="00682338" w:rsidRDefault="00682338" w:rsidP="00653AF2">
      <w:pPr>
        <w:pStyle w:val="Default"/>
      </w:pPr>
    </w:p>
    <w:p w14:paraId="166C593F" w14:textId="77777777" w:rsidR="00682338" w:rsidRDefault="00682338" w:rsidP="00653AF2">
      <w:pPr>
        <w:pStyle w:val="Default"/>
      </w:pPr>
    </w:p>
    <w:p w14:paraId="3C7B287E" w14:textId="77777777" w:rsidR="00682338" w:rsidRDefault="00682338" w:rsidP="00653AF2">
      <w:pPr>
        <w:pStyle w:val="Default"/>
      </w:pPr>
    </w:p>
    <w:p w14:paraId="69211850" w14:textId="77777777" w:rsidR="00682338" w:rsidRDefault="00682338" w:rsidP="00653AF2">
      <w:pPr>
        <w:pStyle w:val="Default"/>
      </w:pPr>
    </w:p>
    <w:p w14:paraId="08CED600" w14:textId="77777777" w:rsidR="00682338" w:rsidRDefault="00682338" w:rsidP="00653AF2">
      <w:pPr>
        <w:pStyle w:val="Default"/>
      </w:pPr>
    </w:p>
    <w:p w14:paraId="1C52C8BB" w14:textId="77777777" w:rsidR="00682338" w:rsidRDefault="00682338" w:rsidP="00653AF2">
      <w:pPr>
        <w:pStyle w:val="Default"/>
      </w:pPr>
    </w:p>
    <w:p w14:paraId="1BEA2970" w14:textId="77777777" w:rsidR="00682338" w:rsidRDefault="00682338" w:rsidP="00653AF2">
      <w:pPr>
        <w:pStyle w:val="Default"/>
      </w:pPr>
    </w:p>
    <w:p w14:paraId="36D4BF7E" w14:textId="77777777" w:rsidR="00682338" w:rsidRDefault="00682338" w:rsidP="00653AF2">
      <w:pPr>
        <w:pStyle w:val="Default"/>
      </w:pPr>
    </w:p>
    <w:p w14:paraId="4838842A" w14:textId="77777777" w:rsidR="00682338" w:rsidRDefault="00682338" w:rsidP="00653AF2">
      <w:pPr>
        <w:pStyle w:val="Default"/>
      </w:pPr>
    </w:p>
    <w:p w14:paraId="3478CD2F" w14:textId="77777777" w:rsidR="00682338" w:rsidRDefault="00682338" w:rsidP="00653AF2">
      <w:pPr>
        <w:pStyle w:val="Default"/>
      </w:pPr>
    </w:p>
    <w:p w14:paraId="3806C79D" w14:textId="77777777" w:rsidR="00682338" w:rsidRDefault="00682338" w:rsidP="00653AF2">
      <w:pPr>
        <w:pStyle w:val="Default"/>
      </w:pPr>
    </w:p>
    <w:p w14:paraId="55FC355F" w14:textId="77777777" w:rsidR="00682338" w:rsidRDefault="00682338" w:rsidP="00653AF2">
      <w:pPr>
        <w:pStyle w:val="Default"/>
      </w:pPr>
    </w:p>
    <w:p w14:paraId="3D024AD9" w14:textId="77777777" w:rsidR="00682338" w:rsidRDefault="00682338" w:rsidP="00653AF2">
      <w:pPr>
        <w:pStyle w:val="Default"/>
      </w:pPr>
    </w:p>
    <w:p w14:paraId="01ED3037" w14:textId="77777777" w:rsidR="00682338" w:rsidRDefault="00682338" w:rsidP="00653AF2">
      <w:pPr>
        <w:pStyle w:val="Default"/>
      </w:pPr>
    </w:p>
    <w:p w14:paraId="7CFC993E" w14:textId="77777777" w:rsidR="00682338" w:rsidRDefault="00682338" w:rsidP="00653AF2">
      <w:pPr>
        <w:pStyle w:val="Default"/>
      </w:pPr>
    </w:p>
    <w:p w14:paraId="0949A414" w14:textId="77777777" w:rsidR="00682338" w:rsidRDefault="00682338" w:rsidP="00653AF2">
      <w:pPr>
        <w:pStyle w:val="Default"/>
      </w:pPr>
    </w:p>
    <w:p w14:paraId="4BAA079E" w14:textId="77777777" w:rsidR="00682338" w:rsidRDefault="00682338" w:rsidP="00653AF2">
      <w:pPr>
        <w:pStyle w:val="Default"/>
      </w:pPr>
    </w:p>
    <w:p w14:paraId="09F03847" w14:textId="77777777" w:rsidR="00682338" w:rsidRDefault="00682338" w:rsidP="00653AF2">
      <w:pPr>
        <w:pStyle w:val="Default"/>
      </w:pPr>
    </w:p>
    <w:p w14:paraId="5A1C0878" w14:textId="77777777" w:rsidR="00682338" w:rsidRDefault="00682338" w:rsidP="00653AF2">
      <w:pPr>
        <w:pStyle w:val="Default"/>
      </w:pPr>
    </w:p>
    <w:p w14:paraId="1FB12A73" w14:textId="77777777" w:rsidR="00653AF2" w:rsidRDefault="00653AF2" w:rsidP="00653AF2">
      <w:pPr>
        <w:pStyle w:val="Default"/>
      </w:pPr>
    </w:p>
    <w:p w14:paraId="6A755D51" w14:textId="018CF7C4" w:rsidR="00653AF2" w:rsidRPr="00CA470F" w:rsidRDefault="00653AF2" w:rsidP="00653AF2">
      <w:pPr>
        <w:pStyle w:val="Default"/>
        <w:rPr>
          <w:b/>
          <w:bCs/>
          <w:sz w:val="28"/>
          <w:szCs w:val="28"/>
        </w:rPr>
      </w:pPr>
      <w:r w:rsidRPr="00CA470F">
        <w:rPr>
          <w:b/>
          <w:bCs/>
          <w:sz w:val="28"/>
          <w:szCs w:val="28"/>
        </w:rPr>
        <w:lastRenderedPageBreak/>
        <w:t>Proposed New Accounts FY 2025:</w:t>
      </w:r>
    </w:p>
    <w:p w14:paraId="48F6B6F9" w14:textId="77777777" w:rsidR="00653AF2" w:rsidRDefault="00653AF2" w:rsidP="00653AF2">
      <w:pPr>
        <w:pStyle w:val="Default"/>
      </w:pPr>
    </w:p>
    <w:p w14:paraId="7506B61D" w14:textId="77777777" w:rsidR="00653AF2" w:rsidRPr="00653AF2" w:rsidRDefault="00653AF2" w:rsidP="00653AF2">
      <w:pPr>
        <w:pStyle w:val="Default"/>
      </w:pPr>
      <w:bookmarkStart w:id="5" w:name="_Hlk163049624"/>
      <w:r w:rsidRPr="00653AF2">
        <w:rPr>
          <w:b/>
          <w:bCs/>
        </w:rPr>
        <w:t>Account Title:</w:t>
      </w:r>
      <w:r w:rsidRPr="00653AF2">
        <w:t xml:space="preserve"> Non-Allocation Transfers of Invested Balances - Receivable</w:t>
      </w:r>
      <w:bookmarkStart w:id="6" w:name="_Hlk159856310"/>
      <w:r w:rsidRPr="00653AF2">
        <w:t xml:space="preserve"> - Prior-Year</w:t>
      </w:r>
      <w:bookmarkEnd w:id="6"/>
    </w:p>
    <w:p w14:paraId="1D85716C" w14:textId="77777777" w:rsidR="00653AF2" w:rsidRPr="00653AF2" w:rsidRDefault="00653AF2" w:rsidP="00653AF2">
      <w:pPr>
        <w:pStyle w:val="Default"/>
      </w:pPr>
      <w:r w:rsidRPr="00653AF2">
        <w:rPr>
          <w:b/>
          <w:bCs/>
        </w:rPr>
        <w:t>Account Number:</w:t>
      </w:r>
      <w:r w:rsidRPr="00653AF2">
        <w:t xml:space="preserve"> </w:t>
      </w:r>
      <w:r w:rsidRPr="00653AF2">
        <w:rPr>
          <w:color w:val="000000" w:themeColor="text1"/>
        </w:rPr>
        <w:t xml:space="preserve">417112 </w:t>
      </w:r>
    </w:p>
    <w:p w14:paraId="235CEB84" w14:textId="77777777" w:rsidR="00653AF2" w:rsidRPr="00653AF2" w:rsidRDefault="00653AF2" w:rsidP="00653AF2">
      <w:pPr>
        <w:pStyle w:val="Default"/>
      </w:pPr>
      <w:r w:rsidRPr="00653AF2">
        <w:rPr>
          <w:b/>
          <w:bCs/>
        </w:rPr>
        <w:t>Normal Balance:</w:t>
      </w:r>
      <w:r w:rsidRPr="00653AF2">
        <w:t xml:space="preserve"> Debit </w:t>
      </w:r>
    </w:p>
    <w:p w14:paraId="3EC3F208" w14:textId="77777777" w:rsidR="00653AF2" w:rsidRPr="00653AF2" w:rsidRDefault="00653AF2" w:rsidP="00653AF2">
      <w:pPr>
        <w:pStyle w:val="Default"/>
      </w:pPr>
      <w:r w:rsidRPr="00653AF2">
        <w:rPr>
          <w:b/>
          <w:bCs/>
        </w:rPr>
        <w:t>Definition:</w:t>
      </w:r>
      <w:r w:rsidRPr="00653AF2">
        <w:t xml:space="preserve"> This account is used to record the amount to be transferred in of unrealized non-expenditure transfers of prior year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debit, it is acceptable in certain instances for this account to have a credit balance. </w:t>
      </w:r>
    </w:p>
    <w:p w14:paraId="7E28F6E4" w14:textId="77777777" w:rsidR="00653AF2" w:rsidRPr="00653AF2" w:rsidRDefault="00653AF2" w:rsidP="00653AF2">
      <w:pPr>
        <w:pStyle w:val="Default"/>
      </w:pPr>
    </w:p>
    <w:p w14:paraId="04948ECE" w14:textId="77777777" w:rsidR="00653AF2" w:rsidRPr="00653AF2" w:rsidRDefault="00653AF2" w:rsidP="00653AF2">
      <w:pPr>
        <w:pStyle w:val="Default"/>
      </w:pPr>
      <w:r w:rsidRPr="00653AF2">
        <w:rPr>
          <w:b/>
          <w:bCs/>
          <w:color w:val="auto"/>
        </w:rPr>
        <w:t>Justification:</w:t>
      </w:r>
      <w:r w:rsidRPr="00653AF2">
        <w:t xml:space="preserve">  New USSGL account to separate prior-year from current-year. This account closes into USSGL account 417100, "Non-Allocation Transfers of Invested Balances - Receivable - Current-Year," at year-end.</w:t>
      </w:r>
    </w:p>
    <w:p w14:paraId="52371F9F" w14:textId="77777777" w:rsidR="00653AF2" w:rsidRDefault="00653AF2" w:rsidP="00653AF2">
      <w:pPr>
        <w:spacing w:after="0" w:line="240" w:lineRule="auto"/>
      </w:pPr>
    </w:p>
    <w:p w14:paraId="200D4817" w14:textId="58BF0F14" w:rsidR="00653AF2" w:rsidRPr="00682338" w:rsidRDefault="00682338" w:rsidP="00653AF2">
      <w:pPr>
        <w:spacing w:after="0" w:line="240" w:lineRule="auto"/>
        <w:rPr>
          <w:b/>
          <w:bCs/>
        </w:rPr>
      </w:pPr>
      <w:r w:rsidRPr="00682338">
        <w:rPr>
          <w:b/>
          <w:bCs/>
          <w:color w:val="000000"/>
          <w:sz w:val="27"/>
          <w:szCs w:val="27"/>
        </w:rPr>
        <w:t xml:space="preserve">Affected TCs: </w:t>
      </w:r>
      <w:r w:rsidR="006264D0">
        <w:rPr>
          <w:b/>
          <w:bCs/>
          <w:color w:val="000000"/>
          <w:sz w:val="27"/>
          <w:szCs w:val="27"/>
        </w:rPr>
        <w:t>A532, A536, and F398</w:t>
      </w:r>
      <w:r w:rsidRPr="00682338">
        <w:rPr>
          <w:b/>
          <w:bCs/>
          <w:color w:val="000000"/>
          <w:sz w:val="27"/>
          <w:szCs w:val="27"/>
        </w:rPr>
        <w:t xml:space="preserve"> (see Budgetary TC </w:t>
      </w:r>
      <w:r w:rsidR="006264D0">
        <w:rPr>
          <w:b/>
          <w:bCs/>
          <w:color w:val="000000"/>
          <w:sz w:val="27"/>
          <w:szCs w:val="27"/>
        </w:rPr>
        <w:t>Updates</w:t>
      </w:r>
      <w:r w:rsidRPr="00682338">
        <w:rPr>
          <w:b/>
          <w:bCs/>
          <w:color w:val="000000"/>
          <w:sz w:val="27"/>
          <w:szCs w:val="27"/>
        </w:rPr>
        <w:t xml:space="preserve"> handout for details</w:t>
      </w:r>
      <w:r>
        <w:rPr>
          <w:b/>
          <w:bCs/>
          <w:color w:val="000000"/>
          <w:sz w:val="27"/>
          <w:szCs w:val="27"/>
        </w:rPr>
        <w:t>)</w:t>
      </w:r>
    </w:p>
    <w:p w14:paraId="72BF3E28" w14:textId="77777777" w:rsidR="00682338" w:rsidRDefault="00682338" w:rsidP="00653AF2">
      <w:pPr>
        <w:spacing w:after="0" w:line="240" w:lineRule="auto"/>
      </w:pPr>
    </w:p>
    <w:p w14:paraId="4D6EE07B" w14:textId="77777777" w:rsidR="00682338" w:rsidRDefault="00682338" w:rsidP="00653AF2">
      <w:pPr>
        <w:spacing w:after="0" w:line="240" w:lineRule="auto"/>
      </w:pPr>
    </w:p>
    <w:p w14:paraId="1B243722" w14:textId="77777777" w:rsidR="00653AF2" w:rsidRPr="00653AF2" w:rsidRDefault="00653AF2" w:rsidP="00653AF2">
      <w:pPr>
        <w:pStyle w:val="Default"/>
      </w:pPr>
      <w:r w:rsidRPr="00653AF2">
        <w:rPr>
          <w:b/>
          <w:bCs/>
        </w:rPr>
        <w:t>Account Title:</w:t>
      </w:r>
      <w:r w:rsidRPr="00653AF2">
        <w:t xml:space="preserve"> Non-Allocation Transfers of Invested Balances - Payable - Prior-Year</w:t>
      </w:r>
    </w:p>
    <w:p w14:paraId="5763C853" w14:textId="77777777" w:rsidR="00653AF2" w:rsidRPr="00653AF2" w:rsidRDefault="00653AF2" w:rsidP="00653AF2">
      <w:pPr>
        <w:pStyle w:val="Default"/>
      </w:pPr>
      <w:r w:rsidRPr="00653AF2">
        <w:rPr>
          <w:b/>
          <w:bCs/>
        </w:rPr>
        <w:t>Account Number:</w:t>
      </w:r>
      <w:r w:rsidRPr="00653AF2">
        <w:t xml:space="preserve"> </w:t>
      </w:r>
      <w:r w:rsidRPr="00653AF2">
        <w:rPr>
          <w:color w:val="000000" w:themeColor="text1"/>
        </w:rPr>
        <w:t>417212</w:t>
      </w:r>
      <w:r w:rsidRPr="00653AF2">
        <w:t xml:space="preserve"> </w:t>
      </w:r>
    </w:p>
    <w:p w14:paraId="2A09021A" w14:textId="77777777" w:rsidR="00653AF2" w:rsidRPr="00653AF2" w:rsidRDefault="00653AF2" w:rsidP="00653AF2">
      <w:pPr>
        <w:pStyle w:val="Default"/>
      </w:pPr>
      <w:r w:rsidRPr="00653AF2">
        <w:rPr>
          <w:b/>
          <w:bCs/>
        </w:rPr>
        <w:t>Normal Balance:</w:t>
      </w:r>
      <w:r w:rsidRPr="00653AF2">
        <w:t xml:space="preserve"> Credit </w:t>
      </w:r>
    </w:p>
    <w:p w14:paraId="36A27324" w14:textId="77777777" w:rsidR="00653AF2" w:rsidRPr="00653AF2" w:rsidRDefault="00653AF2" w:rsidP="00653AF2">
      <w:pPr>
        <w:pStyle w:val="Default"/>
      </w:pPr>
      <w:r w:rsidRPr="00653AF2">
        <w:rPr>
          <w:b/>
          <w:bCs/>
        </w:rPr>
        <w:t>Definition:</w:t>
      </w:r>
      <w:r w:rsidRPr="00653AF2">
        <w:t xml:space="preserve"> This account is used to record the amount to be transferred out of unrealized non-expenditure transfers of prior year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credit, it is acceptable in certain instances for this account to have a debit balance. </w:t>
      </w:r>
      <w:bookmarkStart w:id="7" w:name="_Hlk160647078"/>
    </w:p>
    <w:bookmarkEnd w:id="7"/>
    <w:p w14:paraId="112801CD" w14:textId="77777777" w:rsidR="00653AF2" w:rsidRPr="00653AF2" w:rsidRDefault="00653AF2" w:rsidP="00653AF2">
      <w:pPr>
        <w:pStyle w:val="Default"/>
      </w:pPr>
    </w:p>
    <w:p w14:paraId="46D9C128" w14:textId="77777777" w:rsidR="00653AF2" w:rsidRPr="00653AF2" w:rsidRDefault="00653AF2" w:rsidP="00653AF2">
      <w:pPr>
        <w:pStyle w:val="Default"/>
      </w:pPr>
      <w:r w:rsidRPr="00653AF2">
        <w:rPr>
          <w:b/>
          <w:bCs/>
          <w:color w:val="auto"/>
        </w:rPr>
        <w:t>Justification:</w:t>
      </w:r>
      <w:r w:rsidRPr="00653AF2">
        <w:t xml:space="preserve">  New USSGL account to separate prior-year from current-year. This account closes into USSGL account 417200, "Non-Allocation Transfers of Invested Balances - Payable - Current-Year," at year-end.</w:t>
      </w:r>
    </w:p>
    <w:bookmarkEnd w:id="5"/>
    <w:p w14:paraId="26E9DE6D" w14:textId="77777777" w:rsidR="00653AF2" w:rsidRPr="00653AF2" w:rsidRDefault="00653AF2" w:rsidP="00653AF2">
      <w:pPr>
        <w:pStyle w:val="Default"/>
      </w:pPr>
    </w:p>
    <w:p w14:paraId="2C342A19" w14:textId="315DB9DA" w:rsidR="00682338" w:rsidRPr="00682338" w:rsidRDefault="00682338" w:rsidP="00682338">
      <w:pPr>
        <w:spacing w:after="0" w:line="240" w:lineRule="auto"/>
        <w:rPr>
          <w:b/>
          <w:bCs/>
        </w:rPr>
      </w:pPr>
      <w:r w:rsidRPr="00682338">
        <w:rPr>
          <w:b/>
          <w:bCs/>
          <w:color w:val="000000"/>
          <w:sz w:val="27"/>
          <w:szCs w:val="27"/>
        </w:rPr>
        <w:t xml:space="preserve">Affected TCs: </w:t>
      </w:r>
      <w:r w:rsidR="006264D0">
        <w:rPr>
          <w:b/>
          <w:bCs/>
          <w:color w:val="000000"/>
          <w:sz w:val="27"/>
          <w:szCs w:val="27"/>
        </w:rPr>
        <w:t>A534, A538 and F399</w:t>
      </w:r>
      <w:r w:rsidRPr="00682338">
        <w:rPr>
          <w:b/>
          <w:bCs/>
          <w:color w:val="000000"/>
          <w:sz w:val="27"/>
          <w:szCs w:val="27"/>
        </w:rPr>
        <w:t xml:space="preserve">(see Budgetary TC </w:t>
      </w:r>
      <w:r w:rsidR="006264D0">
        <w:rPr>
          <w:b/>
          <w:bCs/>
          <w:color w:val="000000"/>
          <w:sz w:val="27"/>
          <w:szCs w:val="27"/>
        </w:rPr>
        <w:t>Updates</w:t>
      </w:r>
      <w:r w:rsidRPr="00682338">
        <w:rPr>
          <w:b/>
          <w:bCs/>
          <w:color w:val="000000"/>
          <w:sz w:val="27"/>
          <w:szCs w:val="27"/>
        </w:rPr>
        <w:t xml:space="preserve"> handout for details</w:t>
      </w:r>
      <w:r>
        <w:rPr>
          <w:b/>
          <w:bCs/>
          <w:color w:val="000000"/>
          <w:sz w:val="27"/>
          <w:szCs w:val="27"/>
        </w:rPr>
        <w:t>)</w:t>
      </w:r>
    </w:p>
    <w:p w14:paraId="683FC1D1" w14:textId="77777777" w:rsidR="00682338" w:rsidRDefault="00682338" w:rsidP="00682338">
      <w:pPr>
        <w:spacing w:after="0" w:line="240" w:lineRule="auto"/>
      </w:pPr>
    </w:p>
    <w:p w14:paraId="7C4CFC6A" w14:textId="4412B9E4" w:rsidR="00653AF2" w:rsidRPr="00653AF2" w:rsidRDefault="00653AF2" w:rsidP="00653AF2">
      <w:pPr>
        <w:pStyle w:val="Default"/>
        <w:rPr>
          <w:color w:val="auto"/>
        </w:rPr>
      </w:pPr>
      <w:bookmarkStart w:id="8" w:name="_Hlk163049645"/>
      <w:r w:rsidRPr="00653AF2">
        <w:rPr>
          <w:b/>
          <w:bCs/>
          <w:color w:val="auto"/>
        </w:rPr>
        <w:lastRenderedPageBreak/>
        <w:t>Account Title:</w:t>
      </w:r>
      <w:r w:rsidRPr="00653AF2">
        <w:rPr>
          <w:color w:val="auto"/>
        </w:rPr>
        <w:t xml:space="preserve"> Non-Allocation Transfers of Invested Balances - Transferred - Prior-Year</w:t>
      </w:r>
    </w:p>
    <w:p w14:paraId="307C5B01" w14:textId="77777777" w:rsidR="00653AF2" w:rsidRPr="00653AF2" w:rsidRDefault="00653AF2" w:rsidP="00653AF2">
      <w:pPr>
        <w:pStyle w:val="Default"/>
        <w:rPr>
          <w:color w:val="auto"/>
        </w:rPr>
      </w:pPr>
      <w:r w:rsidRPr="00653AF2">
        <w:rPr>
          <w:b/>
          <w:bCs/>
          <w:color w:val="auto"/>
        </w:rPr>
        <w:t>Account Number:</w:t>
      </w:r>
      <w:r w:rsidRPr="00653AF2">
        <w:rPr>
          <w:color w:val="auto"/>
        </w:rPr>
        <w:t xml:space="preserve"> 417312 </w:t>
      </w:r>
    </w:p>
    <w:p w14:paraId="2DBC0FCE" w14:textId="77777777" w:rsidR="00653AF2" w:rsidRPr="00653AF2" w:rsidRDefault="00653AF2" w:rsidP="00653AF2">
      <w:pPr>
        <w:pStyle w:val="Default"/>
        <w:rPr>
          <w:color w:val="auto"/>
        </w:rPr>
      </w:pPr>
      <w:r w:rsidRPr="00653AF2">
        <w:rPr>
          <w:b/>
          <w:bCs/>
          <w:color w:val="auto"/>
        </w:rPr>
        <w:t>Normal Balance:</w:t>
      </w:r>
      <w:r w:rsidRPr="00653AF2">
        <w:rPr>
          <w:color w:val="auto"/>
        </w:rPr>
        <w:t xml:space="preserve"> Debit </w:t>
      </w:r>
    </w:p>
    <w:p w14:paraId="22B70E88" w14:textId="77777777" w:rsidR="00653AF2" w:rsidRPr="00653AF2" w:rsidRDefault="00653AF2" w:rsidP="00653AF2">
      <w:pPr>
        <w:pStyle w:val="Default"/>
        <w:rPr>
          <w:color w:val="auto"/>
        </w:rPr>
      </w:pPr>
      <w:r w:rsidRPr="00653AF2">
        <w:rPr>
          <w:b/>
          <w:bCs/>
          <w:color w:val="auto"/>
        </w:rPr>
        <w:t>Definition:</w:t>
      </w:r>
      <w:r w:rsidRPr="00653AF2">
        <w:rPr>
          <w:color w:val="auto"/>
        </w:rPr>
        <w:t xml:space="preserve"> This account is used to record the amount of non-expenditure transfers of prior year invested balances accomplished via a Standard Form (SF) 1151: Non-expenditure Transfer Authorization, that reduce previously established USSGL accounts 417112, "Non-Allocation Transfers of Invested Balances - Receivable - Prior-Year", or 417212, "Non-Allocation Transfers of Invested Balances</w:t>
      </w:r>
      <w:bookmarkStart w:id="9" w:name="_Hlk159856371"/>
      <w:r w:rsidRPr="00653AF2">
        <w:rPr>
          <w:color w:val="auto"/>
        </w:rPr>
        <w:t xml:space="preserve"> - </w:t>
      </w:r>
      <w:bookmarkEnd w:id="9"/>
      <w:r w:rsidRPr="00653AF2">
        <w:rPr>
          <w:color w:val="auto"/>
        </w:rPr>
        <w:t>Payable - Prior-Year." Although the normal balance for this account is debit, it is acceptable for this account to have a credit balance.</w:t>
      </w:r>
    </w:p>
    <w:p w14:paraId="63B52FD3" w14:textId="77777777" w:rsidR="00653AF2" w:rsidRPr="00653AF2" w:rsidRDefault="00653AF2" w:rsidP="00653AF2">
      <w:pPr>
        <w:pStyle w:val="Default"/>
        <w:rPr>
          <w:color w:val="auto"/>
        </w:rPr>
      </w:pPr>
    </w:p>
    <w:p w14:paraId="38F8A93D" w14:textId="7B8DC8F7" w:rsidR="00653AF2" w:rsidRPr="00653AF2" w:rsidRDefault="00653AF2" w:rsidP="00653AF2">
      <w:pPr>
        <w:pStyle w:val="Default"/>
        <w:rPr>
          <w:color w:val="auto"/>
        </w:rPr>
      </w:pPr>
      <w:r w:rsidRPr="00653AF2">
        <w:rPr>
          <w:b/>
          <w:bCs/>
          <w:color w:val="auto"/>
        </w:rPr>
        <w:t>Justification:</w:t>
      </w:r>
      <w:r w:rsidRPr="00653AF2">
        <w:rPr>
          <w:color w:val="auto"/>
        </w:rPr>
        <w:t xml:space="preserve">  New USSGL account to separate prior-year from current-year. </w:t>
      </w:r>
    </w:p>
    <w:p w14:paraId="035A10ED" w14:textId="77777777" w:rsidR="00653AF2" w:rsidRPr="00653AF2" w:rsidRDefault="00653AF2" w:rsidP="00653AF2">
      <w:pPr>
        <w:spacing w:after="0" w:line="240" w:lineRule="auto"/>
        <w:rPr>
          <w:rFonts w:ascii="Times New Roman" w:hAnsi="Times New Roman" w:cs="Times New Roman"/>
          <w:sz w:val="24"/>
          <w:szCs w:val="24"/>
        </w:rPr>
      </w:pPr>
    </w:p>
    <w:bookmarkEnd w:id="8"/>
    <w:p w14:paraId="624BB110" w14:textId="65023D20" w:rsidR="00682338" w:rsidRPr="00682338" w:rsidRDefault="00682338" w:rsidP="00682338">
      <w:pPr>
        <w:spacing w:after="0" w:line="240" w:lineRule="auto"/>
        <w:rPr>
          <w:b/>
          <w:bCs/>
        </w:rPr>
      </w:pPr>
      <w:r w:rsidRPr="00682338">
        <w:rPr>
          <w:b/>
          <w:bCs/>
          <w:color w:val="000000"/>
          <w:sz w:val="27"/>
          <w:szCs w:val="27"/>
        </w:rPr>
        <w:t>Affected TCs: A</w:t>
      </w:r>
      <w:r>
        <w:rPr>
          <w:b/>
          <w:bCs/>
          <w:color w:val="000000"/>
          <w:sz w:val="27"/>
          <w:szCs w:val="27"/>
        </w:rPr>
        <w:t>536</w:t>
      </w:r>
      <w:r w:rsidRPr="00682338">
        <w:rPr>
          <w:b/>
          <w:bCs/>
          <w:color w:val="000000"/>
          <w:sz w:val="27"/>
          <w:szCs w:val="27"/>
        </w:rPr>
        <w:t>, A</w:t>
      </w:r>
      <w:r>
        <w:rPr>
          <w:b/>
          <w:bCs/>
          <w:color w:val="000000"/>
          <w:sz w:val="27"/>
          <w:szCs w:val="27"/>
        </w:rPr>
        <w:t>538</w:t>
      </w:r>
      <w:r w:rsidRPr="00682338">
        <w:rPr>
          <w:b/>
          <w:bCs/>
          <w:color w:val="000000"/>
          <w:sz w:val="27"/>
          <w:szCs w:val="27"/>
        </w:rPr>
        <w:t xml:space="preserve"> &amp; </w:t>
      </w:r>
      <w:r>
        <w:rPr>
          <w:b/>
          <w:bCs/>
          <w:color w:val="000000"/>
          <w:sz w:val="27"/>
          <w:szCs w:val="27"/>
        </w:rPr>
        <w:t>F302</w:t>
      </w:r>
      <w:r w:rsidRPr="00682338">
        <w:rPr>
          <w:b/>
          <w:bCs/>
          <w:color w:val="000000"/>
          <w:sz w:val="27"/>
          <w:szCs w:val="27"/>
        </w:rPr>
        <w:t xml:space="preserve"> (see Budgetary TC </w:t>
      </w:r>
      <w:r w:rsidR="006264D0">
        <w:rPr>
          <w:b/>
          <w:bCs/>
          <w:color w:val="000000"/>
          <w:sz w:val="27"/>
          <w:szCs w:val="27"/>
        </w:rPr>
        <w:t>Updates</w:t>
      </w:r>
      <w:r w:rsidRPr="00682338">
        <w:rPr>
          <w:b/>
          <w:bCs/>
          <w:color w:val="000000"/>
          <w:sz w:val="27"/>
          <w:szCs w:val="27"/>
        </w:rPr>
        <w:t xml:space="preserve"> handout for details</w:t>
      </w:r>
      <w:r>
        <w:rPr>
          <w:b/>
          <w:bCs/>
          <w:color w:val="000000"/>
          <w:sz w:val="27"/>
          <w:szCs w:val="27"/>
        </w:rPr>
        <w:t>)</w:t>
      </w:r>
    </w:p>
    <w:p w14:paraId="0CD4AFDF" w14:textId="77777777" w:rsidR="00682338" w:rsidRDefault="00682338" w:rsidP="00682338">
      <w:pPr>
        <w:spacing w:after="0" w:line="240" w:lineRule="auto"/>
      </w:pPr>
    </w:p>
    <w:p w14:paraId="3F85A672" w14:textId="77777777" w:rsidR="00BD71B6" w:rsidRDefault="00BD71B6" w:rsidP="00682338">
      <w:pPr>
        <w:spacing w:after="0" w:line="240" w:lineRule="auto"/>
      </w:pPr>
    </w:p>
    <w:p w14:paraId="4E0CFFD8" w14:textId="77777777" w:rsidR="00BD71B6" w:rsidRDefault="00BD71B6" w:rsidP="00682338">
      <w:pPr>
        <w:spacing w:after="0" w:line="240" w:lineRule="auto"/>
      </w:pPr>
    </w:p>
    <w:p w14:paraId="507E6C31" w14:textId="77777777" w:rsidR="00BD71B6" w:rsidRDefault="00BD71B6" w:rsidP="00682338">
      <w:pPr>
        <w:spacing w:after="0" w:line="240" w:lineRule="auto"/>
      </w:pPr>
    </w:p>
    <w:p w14:paraId="0F60CB80" w14:textId="77777777" w:rsidR="00BD71B6" w:rsidRDefault="00BD71B6" w:rsidP="00682338">
      <w:pPr>
        <w:spacing w:after="0" w:line="240" w:lineRule="auto"/>
      </w:pPr>
    </w:p>
    <w:p w14:paraId="3169ED35" w14:textId="77777777" w:rsidR="00BD71B6" w:rsidRDefault="00BD71B6" w:rsidP="00682338">
      <w:pPr>
        <w:spacing w:after="0" w:line="240" w:lineRule="auto"/>
      </w:pPr>
    </w:p>
    <w:p w14:paraId="56FECB44" w14:textId="77777777" w:rsidR="00BD71B6" w:rsidRDefault="00BD71B6" w:rsidP="00682338">
      <w:pPr>
        <w:spacing w:after="0" w:line="240" w:lineRule="auto"/>
      </w:pPr>
    </w:p>
    <w:p w14:paraId="3E6CB9B6" w14:textId="77777777" w:rsidR="00BD71B6" w:rsidRDefault="00BD71B6" w:rsidP="00682338">
      <w:pPr>
        <w:spacing w:after="0" w:line="240" w:lineRule="auto"/>
      </w:pPr>
    </w:p>
    <w:p w14:paraId="395D0EB0" w14:textId="77777777" w:rsidR="00BD71B6" w:rsidRDefault="00BD71B6" w:rsidP="00682338">
      <w:pPr>
        <w:spacing w:after="0" w:line="240" w:lineRule="auto"/>
      </w:pPr>
    </w:p>
    <w:p w14:paraId="7BAAC6ED" w14:textId="77777777" w:rsidR="00BD71B6" w:rsidRDefault="00BD71B6" w:rsidP="00682338">
      <w:pPr>
        <w:spacing w:after="0" w:line="240" w:lineRule="auto"/>
      </w:pPr>
    </w:p>
    <w:p w14:paraId="14AB1BB5" w14:textId="77777777" w:rsidR="00BD71B6" w:rsidRDefault="00BD71B6" w:rsidP="00682338">
      <w:pPr>
        <w:spacing w:after="0" w:line="240" w:lineRule="auto"/>
      </w:pPr>
    </w:p>
    <w:p w14:paraId="16A1C687" w14:textId="77777777" w:rsidR="00BD71B6" w:rsidRDefault="00BD71B6" w:rsidP="00682338">
      <w:pPr>
        <w:spacing w:after="0" w:line="240" w:lineRule="auto"/>
      </w:pPr>
    </w:p>
    <w:p w14:paraId="490AD291" w14:textId="77777777" w:rsidR="00BD71B6" w:rsidRDefault="00BD71B6" w:rsidP="00682338">
      <w:pPr>
        <w:spacing w:after="0" w:line="240" w:lineRule="auto"/>
      </w:pPr>
    </w:p>
    <w:p w14:paraId="1DD23863" w14:textId="77777777" w:rsidR="00BD71B6" w:rsidRDefault="00BD71B6" w:rsidP="00682338">
      <w:pPr>
        <w:spacing w:after="0" w:line="240" w:lineRule="auto"/>
      </w:pPr>
    </w:p>
    <w:p w14:paraId="476B418E" w14:textId="77777777" w:rsidR="00956CDC" w:rsidRDefault="00956CDC" w:rsidP="00682338">
      <w:pPr>
        <w:spacing w:after="0" w:line="240" w:lineRule="auto"/>
      </w:pPr>
    </w:p>
    <w:p w14:paraId="6FB23F88" w14:textId="77777777" w:rsidR="00BD71B6" w:rsidRDefault="00BD71B6" w:rsidP="00682338">
      <w:pPr>
        <w:spacing w:after="0" w:line="240" w:lineRule="auto"/>
      </w:pPr>
    </w:p>
    <w:p w14:paraId="3435880B" w14:textId="77777777" w:rsidR="00BD71B6" w:rsidRDefault="00BD71B6" w:rsidP="00682338">
      <w:pPr>
        <w:spacing w:after="0" w:line="240" w:lineRule="auto"/>
      </w:pPr>
    </w:p>
    <w:p w14:paraId="124D67D2" w14:textId="77777777" w:rsidR="00BD71B6" w:rsidRDefault="00BD71B6" w:rsidP="00682338">
      <w:pPr>
        <w:spacing w:after="0" w:line="240" w:lineRule="auto"/>
      </w:pPr>
    </w:p>
    <w:p w14:paraId="6856ED1E" w14:textId="77777777" w:rsidR="00BD71B6" w:rsidRDefault="00BD71B6" w:rsidP="00682338">
      <w:pPr>
        <w:spacing w:after="0" w:line="240" w:lineRule="auto"/>
      </w:pPr>
    </w:p>
    <w:p w14:paraId="75371259" w14:textId="77777777" w:rsidR="00BD71B6" w:rsidRDefault="00BD71B6" w:rsidP="00682338">
      <w:pPr>
        <w:spacing w:after="0" w:line="240" w:lineRule="auto"/>
      </w:pPr>
    </w:p>
    <w:p w14:paraId="791DAF09" w14:textId="77777777" w:rsidR="00BD71B6" w:rsidRDefault="00BD71B6" w:rsidP="00682338">
      <w:pPr>
        <w:spacing w:after="0" w:line="240" w:lineRule="auto"/>
      </w:pPr>
    </w:p>
    <w:p w14:paraId="779FAF2D" w14:textId="77777777" w:rsidR="00653AF2" w:rsidRPr="00124226" w:rsidRDefault="00653AF2" w:rsidP="00665F8B">
      <w:pPr>
        <w:spacing w:after="0" w:line="240" w:lineRule="auto"/>
        <w:rPr>
          <w:rFonts w:ascii="Times New Roman" w:hAnsi="Times New Roman" w:cs="Times New Roman"/>
          <w:sz w:val="24"/>
          <w:szCs w:val="24"/>
        </w:rPr>
      </w:pPr>
    </w:p>
    <w:p w14:paraId="40677AC9" w14:textId="77777777" w:rsidR="00682338" w:rsidRDefault="00682338" w:rsidP="00682338">
      <w:pPr>
        <w:autoSpaceDE w:val="0"/>
        <w:autoSpaceDN w:val="0"/>
        <w:adjustRightInd w:val="0"/>
        <w:spacing w:after="0" w:line="240" w:lineRule="auto"/>
        <w:jc w:val="center"/>
        <w:rPr>
          <w:rFonts w:ascii="Times New Roman" w:hAnsi="Times New Roman" w:cs="Times New Roman"/>
          <w:b/>
          <w:bCs/>
          <w:sz w:val="28"/>
          <w:szCs w:val="28"/>
          <w:u w:val="single"/>
        </w:rPr>
      </w:pPr>
      <w:r w:rsidRPr="009D101C">
        <w:rPr>
          <w:rFonts w:ascii="Times New Roman" w:hAnsi="Times New Roman" w:cs="Times New Roman"/>
          <w:b/>
          <w:bCs/>
          <w:sz w:val="28"/>
          <w:szCs w:val="28"/>
          <w:u w:val="single"/>
        </w:rPr>
        <w:lastRenderedPageBreak/>
        <w:t>Impact on Crosswalks</w:t>
      </w:r>
      <w:r>
        <w:rPr>
          <w:rFonts w:ascii="Times New Roman" w:hAnsi="Times New Roman" w:cs="Times New Roman"/>
          <w:b/>
          <w:bCs/>
          <w:sz w:val="28"/>
          <w:szCs w:val="28"/>
          <w:u w:val="single"/>
        </w:rPr>
        <w:t>:</w:t>
      </w:r>
    </w:p>
    <w:p w14:paraId="5CDE520D" w14:textId="77777777" w:rsidR="00682338" w:rsidRPr="009D101C" w:rsidRDefault="00682338" w:rsidP="00682338">
      <w:pPr>
        <w:autoSpaceDE w:val="0"/>
        <w:autoSpaceDN w:val="0"/>
        <w:adjustRightInd w:val="0"/>
        <w:spacing w:after="0" w:line="240" w:lineRule="auto"/>
        <w:jc w:val="center"/>
        <w:rPr>
          <w:rFonts w:ascii="Times New Roman" w:hAnsi="Times New Roman" w:cs="Times New Roman"/>
          <w:b/>
          <w:bCs/>
          <w:sz w:val="28"/>
          <w:szCs w:val="28"/>
          <w:u w:val="single"/>
        </w:rPr>
      </w:pPr>
    </w:p>
    <w:tbl>
      <w:tblPr>
        <w:tblpPr w:leftFromText="180" w:rightFromText="180" w:vertAnchor="text" w:horzAnchor="margin" w:tblpXSpec="center" w:tblpY="226"/>
        <w:tblW w:w="12505" w:type="dxa"/>
        <w:tblLayout w:type="fixed"/>
        <w:tblCellMar>
          <w:left w:w="0" w:type="dxa"/>
          <w:right w:w="0" w:type="dxa"/>
        </w:tblCellMar>
        <w:tblLook w:val="0000" w:firstRow="0" w:lastRow="0" w:firstColumn="0" w:lastColumn="0" w:noHBand="0" w:noVBand="0"/>
      </w:tblPr>
      <w:tblGrid>
        <w:gridCol w:w="1063"/>
        <w:gridCol w:w="1260"/>
        <w:gridCol w:w="1080"/>
        <w:gridCol w:w="1080"/>
        <w:gridCol w:w="1350"/>
        <w:gridCol w:w="1542"/>
        <w:gridCol w:w="1530"/>
        <w:gridCol w:w="1350"/>
        <w:gridCol w:w="1146"/>
        <w:gridCol w:w="1104"/>
      </w:tblGrid>
      <w:tr w:rsidR="002B5EF5" w:rsidRPr="00900F0C" w14:paraId="38069E5A" w14:textId="77777777" w:rsidTr="002B5EF5">
        <w:trPr>
          <w:trHeight w:hRule="exact" w:val="910"/>
        </w:trPr>
        <w:tc>
          <w:tcPr>
            <w:tcW w:w="1063" w:type="dxa"/>
            <w:tcBorders>
              <w:top w:val="single" w:sz="4" w:space="0" w:color="000000"/>
              <w:left w:val="single" w:sz="4" w:space="0" w:color="000000"/>
              <w:bottom w:val="single" w:sz="4" w:space="0" w:color="000000"/>
              <w:right w:val="single" w:sz="4" w:space="0" w:color="000000"/>
            </w:tcBorders>
            <w:shd w:val="clear" w:color="auto" w:fill="D9D9D9"/>
          </w:tcPr>
          <w:p w14:paraId="57FE9F2D" w14:textId="77777777" w:rsidR="002B5EF5" w:rsidRPr="00487DD6" w:rsidRDefault="002B5EF5" w:rsidP="00FA0220">
            <w:pPr>
              <w:kinsoku w:val="0"/>
              <w:overflowPunct w:val="0"/>
              <w:autoSpaceDE w:val="0"/>
              <w:autoSpaceDN w:val="0"/>
              <w:adjustRightInd w:val="0"/>
              <w:spacing w:after="0" w:line="240" w:lineRule="auto"/>
              <w:jc w:val="center"/>
              <w:rPr>
                <w:b/>
                <w:bCs/>
              </w:rPr>
            </w:pPr>
            <w:r w:rsidRPr="00487DD6">
              <w:rPr>
                <w:b/>
                <w:bCs/>
              </w:rPr>
              <w:t>USSGL</w:t>
            </w:r>
          </w:p>
          <w:p w14:paraId="5E2D751C" w14:textId="77777777" w:rsidR="002B5EF5" w:rsidRPr="00487DD6" w:rsidRDefault="002B5EF5" w:rsidP="00FA0220">
            <w:pPr>
              <w:kinsoku w:val="0"/>
              <w:overflowPunct w:val="0"/>
              <w:autoSpaceDE w:val="0"/>
              <w:autoSpaceDN w:val="0"/>
              <w:adjustRightInd w:val="0"/>
              <w:spacing w:after="0" w:line="240" w:lineRule="auto"/>
              <w:jc w:val="center"/>
            </w:pPr>
            <w:r w:rsidRPr="00487DD6">
              <w:rPr>
                <w:b/>
                <w:bCs/>
              </w:rPr>
              <w:t>Account</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10F2A55E" w14:textId="77777777" w:rsidR="002B5EF5" w:rsidRPr="00487DD6" w:rsidRDefault="002B5EF5" w:rsidP="00FA0220">
            <w:pPr>
              <w:kinsoku w:val="0"/>
              <w:overflowPunct w:val="0"/>
              <w:autoSpaceDE w:val="0"/>
              <w:autoSpaceDN w:val="0"/>
              <w:adjustRightInd w:val="0"/>
              <w:spacing w:after="0" w:line="240" w:lineRule="auto"/>
              <w:jc w:val="center"/>
              <w:rPr>
                <w:b/>
                <w:bCs/>
              </w:rPr>
            </w:pPr>
            <w:r w:rsidRPr="00487DD6">
              <w:rPr>
                <w:b/>
                <w:bCs/>
              </w:rPr>
              <w:t>Balance</w:t>
            </w:r>
          </w:p>
          <w:p w14:paraId="47BEB3BB" w14:textId="77777777" w:rsidR="002B5EF5" w:rsidRPr="00487DD6" w:rsidRDefault="002B5EF5" w:rsidP="00FA0220">
            <w:pPr>
              <w:kinsoku w:val="0"/>
              <w:overflowPunct w:val="0"/>
              <w:autoSpaceDE w:val="0"/>
              <w:autoSpaceDN w:val="0"/>
              <w:adjustRightInd w:val="0"/>
              <w:spacing w:after="0" w:line="240" w:lineRule="auto"/>
              <w:jc w:val="center"/>
            </w:pPr>
            <w:r w:rsidRPr="00487DD6">
              <w:rPr>
                <w:b/>
                <w:bCs/>
              </w:rPr>
              <w:t>Sheet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7A01E9B1" w14:textId="77777777" w:rsidR="002B5EF5" w:rsidRPr="00487DD6" w:rsidRDefault="002B5EF5" w:rsidP="00FA0220">
            <w:pPr>
              <w:kinsoku w:val="0"/>
              <w:overflowPunct w:val="0"/>
              <w:autoSpaceDE w:val="0"/>
              <w:autoSpaceDN w:val="0"/>
              <w:adjustRightInd w:val="0"/>
              <w:spacing w:after="0" w:line="240" w:lineRule="auto"/>
              <w:ind w:right="123"/>
              <w:jc w:val="center"/>
              <w:rPr>
                <w:b/>
                <w:bCs/>
              </w:rPr>
            </w:pPr>
            <w:r w:rsidRPr="00487DD6">
              <w:rPr>
                <w:b/>
                <w:bCs/>
              </w:rPr>
              <w:t>Net</w:t>
            </w:r>
          </w:p>
          <w:p w14:paraId="366F268F" w14:textId="77777777" w:rsidR="002B5EF5" w:rsidRPr="00487DD6" w:rsidRDefault="002B5EF5" w:rsidP="00FA0220">
            <w:pPr>
              <w:kinsoku w:val="0"/>
              <w:overflowPunct w:val="0"/>
              <w:autoSpaceDE w:val="0"/>
              <w:autoSpaceDN w:val="0"/>
              <w:adjustRightInd w:val="0"/>
              <w:spacing w:after="0" w:line="240" w:lineRule="auto"/>
              <w:ind w:right="123"/>
              <w:jc w:val="center"/>
            </w:pPr>
            <w:r w:rsidRPr="00487DD6">
              <w:rPr>
                <w:b/>
                <w:bCs/>
              </w:rPr>
              <w:t>Cost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61270E25" w14:textId="77777777" w:rsidR="002B5EF5" w:rsidRPr="00487DD6" w:rsidRDefault="002B5EF5" w:rsidP="00FA0220">
            <w:pPr>
              <w:kinsoku w:val="0"/>
              <w:overflowPunct w:val="0"/>
              <w:autoSpaceDE w:val="0"/>
              <w:autoSpaceDN w:val="0"/>
              <w:adjustRightInd w:val="0"/>
              <w:spacing w:after="0" w:line="240" w:lineRule="auto"/>
              <w:ind w:right="143"/>
              <w:jc w:val="center"/>
              <w:rPr>
                <w:b/>
                <w:bCs/>
              </w:rPr>
            </w:pPr>
            <w:r w:rsidRPr="00487DD6">
              <w:rPr>
                <w:b/>
                <w:bCs/>
              </w:rPr>
              <w:t>Net</w:t>
            </w:r>
          </w:p>
          <w:p w14:paraId="3256853F" w14:textId="77777777" w:rsidR="002B5EF5" w:rsidRPr="00487DD6" w:rsidRDefault="002B5EF5" w:rsidP="00FA0220">
            <w:pPr>
              <w:kinsoku w:val="0"/>
              <w:overflowPunct w:val="0"/>
              <w:autoSpaceDE w:val="0"/>
              <w:autoSpaceDN w:val="0"/>
              <w:adjustRightInd w:val="0"/>
              <w:spacing w:after="0" w:line="240" w:lineRule="auto"/>
              <w:ind w:right="143"/>
              <w:jc w:val="center"/>
            </w:pPr>
            <w:r w:rsidRPr="00487DD6">
              <w:rPr>
                <w:b/>
                <w:bCs/>
              </w:rPr>
              <w:t>Position</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3C4299A1" w14:textId="77777777" w:rsidR="002B5EF5" w:rsidRDefault="002B5EF5" w:rsidP="00FA0220">
            <w:pPr>
              <w:kinsoku w:val="0"/>
              <w:overflowPunct w:val="0"/>
              <w:autoSpaceDE w:val="0"/>
              <w:autoSpaceDN w:val="0"/>
              <w:adjustRightInd w:val="0"/>
              <w:spacing w:after="0" w:line="240" w:lineRule="auto"/>
              <w:ind w:left="200" w:right="198"/>
              <w:jc w:val="center"/>
              <w:rPr>
                <w:b/>
                <w:bCs/>
              </w:rPr>
            </w:pPr>
            <w:r>
              <w:rPr>
                <w:b/>
                <w:bCs/>
              </w:rPr>
              <w:t xml:space="preserve">Custodial </w:t>
            </w:r>
          </w:p>
          <w:p w14:paraId="620C83DD" w14:textId="77777777" w:rsidR="002B5EF5" w:rsidRPr="00487DD6" w:rsidRDefault="002B5EF5" w:rsidP="00FA0220">
            <w:pPr>
              <w:kinsoku w:val="0"/>
              <w:overflowPunct w:val="0"/>
              <w:autoSpaceDE w:val="0"/>
              <w:autoSpaceDN w:val="0"/>
              <w:adjustRightInd w:val="0"/>
              <w:spacing w:after="0" w:line="240" w:lineRule="auto"/>
              <w:ind w:left="200" w:right="198"/>
              <w:jc w:val="center"/>
            </w:pPr>
            <w:r>
              <w:rPr>
                <w:b/>
                <w:bCs/>
              </w:rPr>
              <w:t>Activity</w:t>
            </w:r>
          </w:p>
        </w:tc>
        <w:tc>
          <w:tcPr>
            <w:tcW w:w="1542" w:type="dxa"/>
            <w:tcBorders>
              <w:top w:val="single" w:sz="4" w:space="0" w:color="000000"/>
              <w:left w:val="single" w:sz="4" w:space="0" w:color="000000"/>
              <w:bottom w:val="single" w:sz="4" w:space="0" w:color="000000"/>
              <w:right w:val="single" w:sz="4" w:space="0" w:color="000000"/>
            </w:tcBorders>
            <w:shd w:val="clear" w:color="auto" w:fill="D9D9D9"/>
          </w:tcPr>
          <w:p w14:paraId="4318D08E" w14:textId="77777777" w:rsidR="002B5EF5" w:rsidRPr="00487DD6" w:rsidRDefault="002B5EF5" w:rsidP="00FA0220">
            <w:pPr>
              <w:kinsoku w:val="0"/>
              <w:overflowPunct w:val="0"/>
              <w:autoSpaceDE w:val="0"/>
              <w:autoSpaceDN w:val="0"/>
              <w:adjustRightInd w:val="0"/>
              <w:spacing w:after="0" w:line="240" w:lineRule="auto"/>
              <w:ind w:left="200" w:right="198" w:firstLine="1"/>
              <w:jc w:val="center"/>
              <w:rPr>
                <w:b/>
                <w:bCs/>
              </w:rPr>
            </w:pPr>
            <w:r w:rsidRPr="00487DD6">
              <w:rPr>
                <w:b/>
                <w:bCs/>
              </w:rPr>
              <w:t>Reclassified</w:t>
            </w:r>
          </w:p>
          <w:p w14:paraId="2A05B938" w14:textId="77777777" w:rsidR="002B5EF5" w:rsidRPr="00487DD6" w:rsidRDefault="002B5EF5" w:rsidP="00FA0220">
            <w:pPr>
              <w:kinsoku w:val="0"/>
              <w:overflowPunct w:val="0"/>
              <w:autoSpaceDE w:val="0"/>
              <w:autoSpaceDN w:val="0"/>
              <w:adjustRightInd w:val="0"/>
              <w:spacing w:after="0" w:line="240" w:lineRule="auto"/>
              <w:ind w:left="200" w:right="198" w:firstLine="1"/>
              <w:jc w:val="center"/>
              <w:rPr>
                <w:b/>
                <w:bCs/>
              </w:rPr>
            </w:pPr>
            <w:r w:rsidRPr="00487DD6">
              <w:rPr>
                <w:b/>
                <w:bCs/>
              </w:rPr>
              <w:t>Net</w:t>
            </w:r>
            <w:r>
              <w:rPr>
                <w:b/>
                <w:bCs/>
              </w:rPr>
              <w:t xml:space="preserve"> Cost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389F66D2" w14:textId="77777777" w:rsidR="002B5EF5" w:rsidRPr="00487DD6" w:rsidRDefault="002B5EF5" w:rsidP="00FA0220">
            <w:pPr>
              <w:kinsoku w:val="0"/>
              <w:overflowPunct w:val="0"/>
              <w:autoSpaceDE w:val="0"/>
              <w:autoSpaceDN w:val="0"/>
              <w:adjustRightInd w:val="0"/>
              <w:spacing w:after="0" w:line="240" w:lineRule="auto"/>
              <w:ind w:left="200" w:right="198" w:firstLine="1"/>
              <w:jc w:val="center"/>
              <w:rPr>
                <w:b/>
                <w:bCs/>
              </w:rPr>
            </w:pPr>
            <w:r w:rsidRPr="00487DD6">
              <w:rPr>
                <w:b/>
                <w:bCs/>
              </w:rPr>
              <w:t>Reclassified</w:t>
            </w:r>
          </w:p>
          <w:p w14:paraId="56385915" w14:textId="77777777" w:rsidR="002B5EF5" w:rsidRPr="00487DD6" w:rsidRDefault="002B5EF5" w:rsidP="00FA0220">
            <w:pPr>
              <w:kinsoku w:val="0"/>
              <w:overflowPunct w:val="0"/>
              <w:autoSpaceDE w:val="0"/>
              <w:autoSpaceDN w:val="0"/>
              <w:adjustRightInd w:val="0"/>
              <w:spacing w:after="0" w:line="240" w:lineRule="auto"/>
              <w:ind w:left="200" w:right="198" w:firstLine="1"/>
              <w:jc w:val="center"/>
              <w:rPr>
                <w:b/>
                <w:bCs/>
              </w:rPr>
            </w:pPr>
            <w:r w:rsidRPr="00487DD6">
              <w:rPr>
                <w:b/>
                <w:bCs/>
              </w:rPr>
              <w:t>Net</w:t>
            </w:r>
          </w:p>
          <w:p w14:paraId="4ABE6FD1" w14:textId="77777777" w:rsidR="002B5EF5" w:rsidRPr="005D72E5" w:rsidRDefault="002B5EF5" w:rsidP="00FA0220">
            <w:pPr>
              <w:kinsoku w:val="0"/>
              <w:overflowPunct w:val="0"/>
              <w:autoSpaceDE w:val="0"/>
              <w:autoSpaceDN w:val="0"/>
              <w:adjustRightInd w:val="0"/>
              <w:spacing w:after="0" w:line="240" w:lineRule="auto"/>
              <w:ind w:left="200" w:right="198" w:firstLine="1"/>
              <w:jc w:val="center"/>
              <w:rPr>
                <w:b/>
                <w:bCs/>
              </w:rPr>
            </w:pPr>
            <w:r w:rsidRPr="00487DD6">
              <w:rPr>
                <w:b/>
                <w:bCs/>
              </w:rPr>
              <w:t>Position</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06D48211" w14:textId="77777777" w:rsidR="002B5EF5" w:rsidRPr="00487DD6" w:rsidRDefault="002B5EF5" w:rsidP="00FA0220">
            <w:pPr>
              <w:kinsoku w:val="0"/>
              <w:overflowPunct w:val="0"/>
              <w:autoSpaceDE w:val="0"/>
              <w:autoSpaceDN w:val="0"/>
              <w:adjustRightInd w:val="0"/>
              <w:spacing w:after="0" w:line="240" w:lineRule="auto"/>
              <w:ind w:left="154" w:right="154" w:firstLine="1"/>
              <w:jc w:val="center"/>
              <w:rPr>
                <w:b/>
                <w:bCs/>
              </w:rPr>
            </w:pPr>
            <w:r w:rsidRPr="00487DD6">
              <w:rPr>
                <w:b/>
                <w:bCs/>
              </w:rPr>
              <w:t>SF133</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218E7130" w14:textId="77777777" w:rsidR="002B5EF5" w:rsidRPr="00487DD6" w:rsidRDefault="002B5EF5" w:rsidP="00FA0220">
            <w:pPr>
              <w:kinsoku w:val="0"/>
              <w:overflowPunct w:val="0"/>
              <w:autoSpaceDE w:val="0"/>
              <w:autoSpaceDN w:val="0"/>
              <w:adjustRightInd w:val="0"/>
              <w:spacing w:after="0" w:line="240" w:lineRule="auto"/>
              <w:ind w:left="154" w:right="154" w:firstLine="1"/>
              <w:jc w:val="center"/>
              <w:rPr>
                <w:b/>
                <w:bCs/>
              </w:rPr>
            </w:pPr>
            <w:r w:rsidRPr="00487DD6">
              <w:rPr>
                <w:b/>
                <w:bCs/>
              </w:rPr>
              <w:t>Schedule P</w:t>
            </w:r>
          </w:p>
        </w:tc>
        <w:tc>
          <w:tcPr>
            <w:tcW w:w="1104" w:type="dxa"/>
            <w:tcBorders>
              <w:top w:val="single" w:sz="4" w:space="0" w:color="000000"/>
              <w:left w:val="single" w:sz="4" w:space="0" w:color="000000"/>
              <w:bottom w:val="single" w:sz="4" w:space="0" w:color="000000"/>
              <w:right w:val="single" w:sz="4" w:space="0" w:color="000000"/>
            </w:tcBorders>
            <w:shd w:val="clear" w:color="auto" w:fill="D9D9D9"/>
          </w:tcPr>
          <w:p w14:paraId="7098FBF3" w14:textId="77777777" w:rsidR="002B5EF5" w:rsidRPr="00487DD6" w:rsidRDefault="002B5EF5" w:rsidP="00FA0220">
            <w:pPr>
              <w:kinsoku w:val="0"/>
              <w:overflowPunct w:val="0"/>
              <w:autoSpaceDE w:val="0"/>
              <w:autoSpaceDN w:val="0"/>
              <w:adjustRightInd w:val="0"/>
              <w:spacing w:after="0" w:line="240" w:lineRule="auto"/>
              <w:ind w:left="154" w:right="154" w:firstLine="1"/>
              <w:jc w:val="center"/>
              <w:rPr>
                <w:b/>
                <w:bCs/>
              </w:rPr>
            </w:pPr>
            <w:r w:rsidRPr="00487DD6">
              <w:rPr>
                <w:b/>
                <w:bCs/>
              </w:rPr>
              <w:t>SBR</w:t>
            </w:r>
          </w:p>
        </w:tc>
      </w:tr>
      <w:tr w:rsidR="002B5EF5" w:rsidRPr="00900F0C" w14:paraId="478B4D91" w14:textId="77777777" w:rsidTr="002B5EF5">
        <w:trPr>
          <w:trHeight w:hRule="exact" w:val="892"/>
        </w:trPr>
        <w:tc>
          <w:tcPr>
            <w:tcW w:w="1063" w:type="dxa"/>
            <w:tcBorders>
              <w:top w:val="single" w:sz="4" w:space="0" w:color="000000"/>
              <w:left w:val="single" w:sz="4" w:space="0" w:color="000000"/>
              <w:bottom w:val="single" w:sz="4" w:space="0" w:color="000000"/>
              <w:right w:val="single" w:sz="4" w:space="0" w:color="000000"/>
            </w:tcBorders>
          </w:tcPr>
          <w:p w14:paraId="70F5ACF2" w14:textId="3837A3CF" w:rsidR="002B5EF5" w:rsidRDefault="002B5EF5" w:rsidP="00FA0220">
            <w:pPr>
              <w:kinsoku w:val="0"/>
              <w:overflowPunct w:val="0"/>
              <w:autoSpaceDE w:val="0"/>
              <w:autoSpaceDN w:val="0"/>
              <w:adjustRightInd w:val="0"/>
              <w:spacing w:after="0" w:line="240" w:lineRule="auto"/>
              <w:ind w:left="101"/>
              <w:jc w:val="center"/>
              <w:rPr>
                <w:b/>
              </w:rPr>
            </w:pPr>
            <w:r>
              <w:rPr>
                <w:b/>
              </w:rPr>
              <w:t>417112</w:t>
            </w:r>
          </w:p>
          <w:p w14:paraId="1BF8C058" w14:textId="41BB7423" w:rsidR="002B5EF5" w:rsidRPr="00C86661" w:rsidRDefault="002B5EF5" w:rsidP="00FA0220">
            <w:pPr>
              <w:kinsoku w:val="0"/>
              <w:overflowPunct w:val="0"/>
              <w:autoSpaceDE w:val="0"/>
              <w:autoSpaceDN w:val="0"/>
              <w:adjustRightInd w:val="0"/>
              <w:spacing w:after="0" w:line="240" w:lineRule="auto"/>
              <w:ind w:left="101"/>
              <w:jc w:val="center"/>
              <w:rPr>
                <w:b/>
              </w:rPr>
            </w:pPr>
            <w:r w:rsidRPr="00C86661">
              <w:rPr>
                <w:b/>
              </w:rPr>
              <w:t>(FY 2</w:t>
            </w:r>
            <w:r>
              <w:rPr>
                <w:b/>
              </w:rPr>
              <w:t>5</w:t>
            </w:r>
            <w:r w:rsidRPr="00C86661">
              <w:rPr>
                <w:b/>
              </w:rPr>
              <w:t>)</w:t>
            </w:r>
          </w:p>
        </w:tc>
        <w:tc>
          <w:tcPr>
            <w:tcW w:w="1260" w:type="dxa"/>
            <w:tcBorders>
              <w:top w:val="single" w:sz="4" w:space="0" w:color="000000"/>
              <w:left w:val="single" w:sz="4" w:space="0" w:color="000000"/>
              <w:bottom w:val="single" w:sz="4" w:space="0" w:color="000000"/>
              <w:right w:val="single" w:sz="4" w:space="0" w:color="000000"/>
            </w:tcBorders>
          </w:tcPr>
          <w:p w14:paraId="30F7B055" w14:textId="77777777" w:rsidR="002B5EF5" w:rsidRDefault="002B5EF5" w:rsidP="00FA0220">
            <w:pPr>
              <w:kinsoku w:val="0"/>
              <w:overflowPunct w:val="0"/>
              <w:autoSpaceDE w:val="0"/>
              <w:autoSpaceDN w:val="0"/>
              <w:adjustRightInd w:val="0"/>
              <w:spacing w:line="273" w:lineRule="exact"/>
              <w:ind w:left="102"/>
              <w:jc w:val="center"/>
              <w:rPr>
                <w:sz w:val="20"/>
                <w:szCs w:val="20"/>
              </w:rPr>
            </w:pPr>
            <w:r>
              <w:rPr>
                <w:sz w:val="20"/>
                <w:szCs w:val="20"/>
              </w:rPr>
              <w:t>N/A</w:t>
            </w:r>
          </w:p>
          <w:p w14:paraId="293487D8" w14:textId="77777777" w:rsidR="002B5EF5" w:rsidRPr="00487DD6" w:rsidRDefault="002B5EF5" w:rsidP="00FA0220">
            <w:pPr>
              <w:kinsoku w:val="0"/>
              <w:overflowPunct w:val="0"/>
              <w:autoSpaceDE w:val="0"/>
              <w:autoSpaceDN w:val="0"/>
              <w:adjustRightInd w:val="0"/>
              <w:spacing w:line="273" w:lineRule="exact"/>
              <w:ind w:left="102"/>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F4C3093" w14:textId="77777777" w:rsidR="002B5EF5" w:rsidRPr="005D72E5" w:rsidRDefault="002B5EF5" w:rsidP="00FA0220">
            <w:pPr>
              <w:kinsoku w:val="0"/>
              <w:overflowPunct w:val="0"/>
              <w:autoSpaceDE w:val="0"/>
              <w:autoSpaceDN w:val="0"/>
              <w:adjustRightInd w:val="0"/>
              <w:spacing w:line="273" w:lineRule="exact"/>
              <w:jc w:val="center"/>
            </w:pPr>
            <w:r>
              <w:t>N/A</w:t>
            </w:r>
          </w:p>
        </w:tc>
        <w:tc>
          <w:tcPr>
            <w:tcW w:w="1080" w:type="dxa"/>
            <w:tcBorders>
              <w:top w:val="single" w:sz="4" w:space="0" w:color="000000"/>
              <w:left w:val="single" w:sz="4" w:space="0" w:color="000000"/>
              <w:bottom w:val="single" w:sz="4" w:space="0" w:color="000000"/>
              <w:right w:val="single" w:sz="4" w:space="0" w:color="000000"/>
            </w:tcBorders>
          </w:tcPr>
          <w:p w14:paraId="08F05FB5" w14:textId="77777777" w:rsidR="002B5EF5" w:rsidRPr="005D72E5" w:rsidRDefault="002B5EF5" w:rsidP="00FA0220">
            <w:pPr>
              <w:kinsoku w:val="0"/>
              <w:overflowPunct w:val="0"/>
              <w:autoSpaceDE w:val="0"/>
              <w:autoSpaceDN w:val="0"/>
              <w:adjustRightInd w:val="0"/>
              <w:spacing w:line="273" w:lineRule="exact"/>
              <w:jc w:val="center"/>
            </w:pPr>
            <w:r>
              <w:t>N/A</w:t>
            </w:r>
          </w:p>
        </w:tc>
        <w:tc>
          <w:tcPr>
            <w:tcW w:w="1350" w:type="dxa"/>
            <w:tcBorders>
              <w:top w:val="single" w:sz="4" w:space="0" w:color="000000"/>
              <w:left w:val="single" w:sz="4" w:space="0" w:color="000000"/>
              <w:bottom w:val="single" w:sz="4" w:space="0" w:color="000000"/>
              <w:right w:val="single" w:sz="4" w:space="0" w:color="000000"/>
            </w:tcBorders>
          </w:tcPr>
          <w:p w14:paraId="0894503D" w14:textId="77777777" w:rsidR="002B5EF5" w:rsidRPr="005D72E5" w:rsidRDefault="002B5EF5" w:rsidP="00FA0220">
            <w:pPr>
              <w:kinsoku w:val="0"/>
              <w:overflowPunct w:val="0"/>
              <w:autoSpaceDE w:val="0"/>
              <w:autoSpaceDN w:val="0"/>
              <w:adjustRightInd w:val="0"/>
              <w:spacing w:line="273" w:lineRule="exact"/>
              <w:jc w:val="center"/>
            </w:pPr>
            <w:r>
              <w:t>N/A</w:t>
            </w:r>
          </w:p>
        </w:tc>
        <w:tc>
          <w:tcPr>
            <w:tcW w:w="1542" w:type="dxa"/>
            <w:tcBorders>
              <w:top w:val="single" w:sz="4" w:space="0" w:color="000000"/>
              <w:left w:val="single" w:sz="4" w:space="0" w:color="000000"/>
              <w:bottom w:val="single" w:sz="4" w:space="0" w:color="000000"/>
              <w:right w:val="single" w:sz="4" w:space="0" w:color="000000"/>
            </w:tcBorders>
          </w:tcPr>
          <w:p w14:paraId="1CF9B8F3" w14:textId="77777777" w:rsidR="002B5EF5" w:rsidRPr="005D72E5" w:rsidRDefault="002B5EF5" w:rsidP="00FA0220">
            <w:pPr>
              <w:kinsoku w:val="0"/>
              <w:overflowPunct w:val="0"/>
              <w:autoSpaceDE w:val="0"/>
              <w:autoSpaceDN w:val="0"/>
              <w:adjustRightInd w:val="0"/>
              <w:spacing w:line="273" w:lineRule="exact"/>
              <w:jc w:val="center"/>
            </w:pPr>
            <w:r>
              <w:t>N/A</w:t>
            </w:r>
          </w:p>
        </w:tc>
        <w:tc>
          <w:tcPr>
            <w:tcW w:w="1530" w:type="dxa"/>
            <w:tcBorders>
              <w:top w:val="single" w:sz="4" w:space="0" w:color="000000"/>
              <w:left w:val="single" w:sz="4" w:space="0" w:color="000000"/>
              <w:bottom w:val="single" w:sz="4" w:space="0" w:color="000000"/>
              <w:right w:val="single" w:sz="4" w:space="0" w:color="000000"/>
            </w:tcBorders>
          </w:tcPr>
          <w:p w14:paraId="3338F288" w14:textId="77777777" w:rsidR="002B5EF5" w:rsidRDefault="002B5EF5" w:rsidP="00FA0220">
            <w:pPr>
              <w:kinsoku w:val="0"/>
              <w:overflowPunct w:val="0"/>
              <w:autoSpaceDE w:val="0"/>
              <w:autoSpaceDN w:val="0"/>
              <w:adjustRightInd w:val="0"/>
              <w:spacing w:line="273" w:lineRule="exact"/>
              <w:jc w:val="center"/>
            </w:pPr>
            <w:r>
              <w:t>N/A</w:t>
            </w:r>
          </w:p>
          <w:p w14:paraId="2ABD2459" w14:textId="77777777" w:rsidR="002B5EF5" w:rsidRPr="005D72E5" w:rsidRDefault="002B5EF5" w:rsidP="00FA0220">
            <w:pPr>
              <w:kinsoku w:val="0"/>
              <w:overflowPunct w:val="0"/>
              <w:autoSpaceDE w:val="0"/>
              <w:autoSpaceDN w:val="0"/>
              <w:adjustRightInd w:val="0"/>
              <w:spacing w:line="273" w:lineRule="exact"/>
              <w:jc w:val="center"/>
            </w:pPr>
          </w:p>
        </w:tc>
        <w:tc>
          <w:tcPr>
            <w:tcW w:w="1350" w:type="dxa"/>
            <w:tcBorders>
              <w:top w:val="single" w:sz="4" w:space="0" w:color="000000"/>
              <w:left w:val="single" w:sz="4" w:space="0" w:color="000000"/>
              <w:bottom w:val="single" w:sz="4" w:space="0" w:color="000000"/>
              <w:right w:val="single" w:sz="4" w:space="0" w:color="000000"/>
            </w:tcBorders>
          </w:tcPr>
          <w:p w14:paraId="70516B65" w14:textId="76D3D396" w:rsidR="002B5EF5" w:rsidRPr="005D72E5" w:rsidRDefault="002B5EF5" w:rsidP="00FA0220">
            <w:pPr>
              <w:kinsoku w:val="0"/>
              <w:overflowPunct w:val="0"/>
              <w:autoSpaceDE w:val="0"/>
              <w:autoSpaceDN w:val="0"/>
              <w:adjustRightInd w:val="0"/>
              <w:spacing w:after="0" w:line="240" w:lineRule="auto"/>
              <w:jc w:val="center"/>
            </w:pPr>
            <w:r>
              <w:t>1011</w:t>
            </w:r>
          </w:p>
        </w:tc>
        <w:tc>
          <w:tcPr>
            <w:tcW w:w="1146" w:type="dxa"/>
            <w:tcBorders>
              <w:top w:val="single" w:sz="4" w:space="0" w:color="000000"/>
              <w:left w:val="single" w:sz="4" w:space="0" w:color="000000"/>
              <w:bottom w:val="single" w:sz="4" w:space="0" w:color="000000"/>
              <w:right w:val="single" w:sz="4" w:space="0" w:color="000000"/>
            </w:tcBorders>
          </w:tcPr>
          <w:p w14:paraId="4F53B97D" w14:textId="73B3CC0B" w:rsidR="002B5EF5" w:rsidRPr="005D72E5" w:rsidRDefault="002B5EF5" w:rsidP="00FA0220">
            <w:pPr>
              <w:kinsoku w:val="0"/>
              <w:overflowPunct w:val="0"/>
              <w:autoSpaceDE w:val="0"/>
              <w:autoSpaceDN w:val="0"/>
              <w:adjustRightInd w:val="0"/>
              <w:spacing w:after="0" w:line="240" w:lineRule="auto"/>
              <w:jc w:val="center"/>
            </w:pPr>
            <w:r>
              <w:t>1011</w:t>
            </w:r>
          </w:p>
        </w:tc>
        <w:tc>
          <w:tcPr>
            <w:tcW w:w="1104" w:type="dxa"/>
            <w:tcBorders>
              <w:top w:val="single" w:sz="4" w:space="0" w:color="000000"/>
              <w:left w:val="single" w:sz="4" w:space="0" w:color="000000"/>
              <w:bottom w:val="single" w:sz="4" w:space="0" w:color="000000"/>
              <w:right w:val="single" w:sz="4" w:space="0" w:color="000000"/>
            </w:tcBorders>
          </w:tcPr>
          <w:p w14:paraId="6D3FFF9A" w14:textId="77777777" w:rsidR="002B5EF5" w:rsidRDefault="002B5EF5" w:rsidP="00FA0220">
            <w:pPr>
              <w:kinsoku w:val="0"/>
              <w:overflowPunct w:val="0"/>
              <w:autoSpaceDE w:val="0"/>
              <w:autoSpaceDN w:val="0"/>
              <w:adjustRightInd w:val="0"/>
              <w:spacing w:after="0" w:line="240" w:lineRule="auto"/>
              <w:jc w:val="center"/>
            </w:pPr>
            <w:r>
              <w:t>1071</w:t>
            </w:r>
          </w:p>
          <w:p w14:paraId="59FFDB42" w14:textId="52FDE3B7" w:rsidR="002B5EF5" w:rsidRPr="005D72E5" w:rsidRDefault="002B5EF5" w:rsidP="00FA0220">
            <w:pPr>
              <w:kinsoku w:val="0"/>
              <w:overflowPunct w:val="0"/>
              <w:autoSpaceDE w:val="0"/>
              <w:autoSpaceDN w:val="0"/>
              <w:adjustRightInd w:val="0"/>
              <w:spacing w:after="0" w:line="240" w:lineRule="auto"/>
              <w:jc w:val="center"/>
            </w:pPr>
          </w:p>
        </w:tc>
      </w:tr>
      <w:tr w:rsidR="002B5EF5" w:rsidRPr="00900F0C" w14:paraId="7E2DF27C" w14:textId="77777777" w:rsidTr="002B5EF5">
        <w:trPr>
          <w:trHeight w:hRule="exact" w:val="892"/>
        </w:trPr>
        <w:tc>
          <w:tcPr>
            <w:tcW w:w="1063" w:type="dxa"/>
            <w:tcBorders>
              <w:top w:val="single" w:sz="4" w:space="0" w:color="000000"/>
              <w:left w:val="single" w:sz="4" w:space="0" w:color="000000"/>
              <w:bottom w:val="single" w:sz="4" w:space="0" w:color="000000"/>
              <w:right w:val="single" w:sz="4" w:space="0" w:color="000000"/>
            </w:tcBorders>
          </w:tcPr>
          <w:p w14:paraId="2D3C13FA" w14:textId="2E585872" w:rsidR="002B5EF5" w:rsidRDefault="002B5EF5" w:rsidP="002B5EF5">
            <w:pPr>
              <w:kinsoku w:val="0"/>
              <w:overflowPunct w:val="0"/>
              <w:autoSpaceDE w:val="0"/>
              <w:autoSpaceDN w:val="0"/>
              <w:adjustRightInd w:val="0"/>
              <w:spacing w:after="0" w:line="240" w:lineRule="auto"/>
              <w:ind w:left="101"/>
              <w:jc w:val="center"/>
              <w:rPr>
                <w:b/>
              </w:rPr>
            </w:pPr>
            <w:r>
              <w:rPr>
                <w:b/>
              </w:rPr>
              <w:t>417212</w:t>
            </w:r>
          </w:p>
          <w:p w14:paraId="0208EEBF" w14:textId="77777777" w:rsidR="002B5EF5" w:rsidRDefault="002B5EF5" w:rsidP="002B5EF5">
            <w:pPr>
              <w:kinsoku w:val="0"/>
              <w:overflowPunct w:val="0"/>
              <w:autoSpaceDE w:val="0"/>
              <w:autoSpaceDN w:val="0"/>
              <w:adjustRightInd w:val="0"/>
              <w:spacing w:after="0" w:line="240" w:lineRule="auto"/>
              <w:ind w:left="101"/>
              <w:jc w:val="center"/>
              <w:rPr>
                <w:b/>
              </w:rPr>
            </w:pPr>
            <w:r>
              <w:rPr>
                <w:b/>
              </w:rPr>
              <w:t>(FY 25)</w:t>
            </w:r>
          </w:p>
          <w:p w14:paraId="06DA4722" w14:textId="490231A3" w:rsidR="002B5EF5" w:rsidRPr="00C86661" w:rsidRDefault="002B5EF5" w:rsidP="002B5EF5">
            <w:pPr>
              <w:kinsoku w:val="0"/>
              <w:overflowPunct w:val="0"/>
              <w:autoSpaceDE w:val="0"/>
              <w:autoSpaceDN w:val="0"/>
              <w:adjustRightInd w:val="0"/>
              <w:spacing w:after="0" w:line="240" w:lineRule="auto"/>
              <w:ind w:left="101"/>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07D805BC" w14:textId="77777777" w:rsidR="002B5EF5" w:rsidRDefault="002B5EF5" w:rsidP="002B5EF5">
            <w:pPr>
              <w:kinsoku w:val="0"/>
              <w:overflowPunct w:val="0"/>
              <w:autoSpaceDE w:val="0"/>
              <w:autoSpaceDN w:val="0"/>
              <w:adjustRightInd w:val="0"/>
              <w:spacing w:line="273" w:lineRule="exact"/>
              <w:ind w:left="102"/>
              <w:jc w:val="center"/>
              <w:rPr>
                <w:sz w:val="20"/>
                <w:szCs w:val="20"/>
              </w:rPr>
            </w:pPr>
            <w:r>
              <w:rPr>
                <w:sz w:val="20"/>
                <w:szCs w:val="20"/>
              </w:rPr>
              <w:t>N/A</w:t>
            </w:r>
          </w:p>
          <w:p w14:paraId="7EE78584" w14:textId="77777777" w:rsidR="002B5EF5" w:rsidRDefault="002B5EF5" w:rsidP="002B5EF5">
            <w:pPr>
              <w:kinsoku w:val="0"/>
              <w:overflowPunct w:val="0"/>
              <w:autoSpaceDE w:val="0"/>
              <w:autoSpaceDN w:val="0"/>
              <w:adjustRightInd w:val="0"/>
              <w:spacing w:line="273" w:lineRule="exact"/>
              <w:ind w:left="102"/>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7246673E" w14:textId="77777777" w:rsidR="002B5EF5" w:rsidRDefault="002B5EF5" w:rsidP="002B5EF5">
            <w:pPr>
              <w:kinsoku w:val="0"/>
              <w:overflowPunct w:val="0"/>
              <w:autoSpaceDE w:val="0"/>
              <w:autoSpaceDN w:val="0"/>
              <w:adjustRightInd w:val="0"/>
              <w:spacing w:line="273" w:lineRule="exact"/>
              <w:ind w:left="102"/>
              <w:jc w:val="center"/>
              <w:rPr>
                <w:sz w:val="20"/>
                <w:szCs w:val="20"/>
              </w:rPr>
            </w:pPr>
            <w:r>
              <w:rPr>
                <w:sz w:val="20"/>
                <w:szCs w:val="20"/>
              </w:rPr>
              <w:t>N/A</w:t>
            </w:r>
          </w:p>
          <w:p w14:paraId="12FA1291" w14:textId="77777777" w:rsidR="002B5EF5" w:rsidRDefault="002B5EF5" w:rsidP="002B5EF5">
            <w:pPr>
              <w:kinsoku w:val="0"/>
              <w:overflowPunct w:val="0"/>
              <w:autoSpaceDE w:val="0"/>
              <w:autoSpaceDN w:val="0"/>
              <w:adjustRightInd w:val="0"/>
              <w:spacing w:line="273" w:lineRule="exact"/>
              <w:jc w:val="center"/>
            </w:pPr>
          </w:p>
        </w:tc>
        <w:tc>
          <w:tcPr>
            <w:tcW w:w="1080" w:type="dxa"/>
            <w:tcBorders>
              <w:top w:val="single" w:sz="4" w:space="0" w:color="000000"/>
              <w:left w:val="single" w:sz="4" w:space="0" w:color="000000"/>
              <w:bottom w:val="single" w:sz="4" w:space="0" w:color="000000"/>
              <w:right w:val="single" w:sz="4" w:space="0" w:color="000000"/>
            </w:tcBorders>
          </w:tcPr>
          <w:p w14:paraId="1EA6F0A9" w14:textId="11F3AA0A" w:rsidR="002B5EF5" w:rsidRDefault="002B5EF5" w:rsidP="002B5EF5">
            <w:pPr>
              <w:kinsoku w:val="0"/>
              <w:overflowPunct w:val="0"/>
              <w:autoSpaceDE w:val="0"/>
              <w:autoSpaceDN w:val="0"/>
              <w:adjustRightInd w:val="0"/>
              <w:spacing w:line="273" w:lineRule="exact"/>
              <w:jc w:val="center"/>
            </w:pPr>
            <w:r>
              <w:t>N/A</w:t>
            </w:r>
          </w:p>
        </w:tc>
        <w:tc>
          <w:tcPr>
            <w:tcW w:w="1350" w:type="dxa"/>
            <w:tcBorders>
              <w:top w:val="single" w:sz="4" w:space="0" w:color="000000"/>
              <w:left w:val="single" w:sz="4" w:space="0" w:color="000000"/>
              <w:bottom w:val="single" w:sz="4" w:space="0" w:color="000000"/>
              <w:right w:val="single" w:sz="4" w:space="0" w:color="000000"/>
            </w:tcBorders>
          </w:tcPr>
          <w:p w14:paraId="056B4EC7" w14:textId="4BCF067E" w:rsidR="002B5EF5" w:rsidRDefault="002B5EF5" w:rsidP="002B5EF5">
            <w:pPr>
              <w:kinsoku w:val="0"/>
              <w:overflowPunct w:val="0"/>
              <w:autoSpaceDE w:val="0"/>
              <w:autoSpaceDN w:val="0"/>
              <w:adjustRightInd w:val="0"/>
              <w:spacing w:line="273" w:lineRule="exact"/>
              <w:jc w:val="center"/>
            </w:pPr>
            <w:r>
              <w:t>N/A</w:t>
            </w:r>
          </w:p>
        </w:tc>
        <w:tc>
          <w:tcPr>
            <w:tcW w:w="1542" w:type="dxa"/>
            <w:tcBorders>
              <w:top w:val="single" w:sz="4" w:space="0" w:color="000000"/>
              <w:left w:val="single" w:sz="4" w:space="0" w:color="000000"/>
              <w:bottom w:val="single" w:sz="4" w:space="0" w:color="000000"/>
              <w:right w:val="single" w:sz="4" w:space="0" w:color="000000"/>
            </w:tcBorders>
          </w:tcPr>
          <w:p w14:paraId="73A43815" w14:textId="6038E6D7" w:rsidR="002B5EF5" w:rsidRDefault="002B5EF5" w:rsidP="002B5EF5">
            <w:pPr>
              <w:kinsoku w:val="0"/>
              <w:overflowPunct w:val="0"/>
              <w:autoSpaceDE w:val="0"/>
              <w:autoSpaceDN w:val="0"/>
              <w:adjustRightInd w:val="0"/>
              <w:spacing w:line="273" w:lineRule="exact"/>
              <w:jc w:val="center"/>
            </w:pPr>
            <w:r>
              <w:t>N/A</w:t>
            </w:r>
          </w:p>
        </w:tc>
        <w:tc>
          <w:tcPr>
            <w:tcW w:w="1530" w:type="dxa"/>
            <w:tcBorders>
              <w:top w:val="single" w:sz="4" w:space="0" w:color="000000"/>
              <w:left w:val="single" w:sz="4" w:space="0" w:color="000000"/>
              <w:bottom w:val="single" w:sz="4" w:space="0" w:color="000000"/>
              <w:right w:val="single" w:sz="4" w:space="0" w:color="000000"/>
            </w:tcBorders>
          </w:tcPr>
          <w:p w14:paraId="7E0876A3" w14:textId="01FCA27F" w:rsidR="002B5EF5" w:rsidRDefault="002B5EF5" w:rsidP="002B5EF5">
            <w:pPr>
              <w:kinsoku w:val="0"/>
              <w:overflowPunct w:val="0"/>
              <w:autoSpaceDE w:val="0"/>
              <w:autoSpaceDN w:val="0"/>
              <w:adjustRightInd w:val="0"/>
              <w:spacing w:line="273" w:lineRule="exact"/>
              <w:jc w:val="center"/>
            </w:pPr>
            <w:r>
              <w:t>N/A</w:t>
            </w:r>
          </w:p>
        </w:tc>
        <w:tc>
          <w:tcPr>
            <w:tcW w:w="1350" w:type="dxa"/>
            <w:tcBorders>
              <w:top w:val="single" w:sz="4" w:space="0" w:color="000000"/>
              <w:left w:val="single" w:sz="4" w:space="0" w:color="000000"/>
              <w:bottom w:val="single" w:sz="4" w:space="0" w:color="000000"/>
              <w:right w:val="single" w:sz="4" w:space="0" w:color="000000"/>
            </w:tcBorders>
          </w:tcPr>
          <w:p w14:paraId="25BC3E15" w14:textId="10ABA85A" w:rsidR="002B5EF5" w:rsidRDefault="002B5EF5" w:rsidP="002B5EF5">
            <w:pPr>
              <w:kinsoku w:val="0"/>
              <w:overflowPunct w:val="0"/>
              <w:autoSpaceDE w:val="0"/>
              <w:autoSpaceDN w:val="0"/>
              <w:adjustRightInd w:val="0"/>
              <w:spacing w:line="273" w:lineRule="exact"/>
              <w:jc w:val="center"/>
            </w:pPr>
            <w:r>
              <w:t>1010</w:t>
            </w:r>
          </w:p>
        </w:tc>
        <w:tc>
          <w:tcPr>
            <w:tcW w:w="1146" w:type="dxa"/>
            <w:tcBorders>
              <w:top w:val="single" w:sz="4" w:space="0" w:color="000000"/>
              <w:left w:val="single" w:sz="4" w:space="0" w:color="000000"/>
              <w:bottom w:val="single" w:sz="4" w:space="0" w:color="000000"/>
              <w:right w:val="single" w:sz="4" w:space="0" w:color="000000"/>
            </w:tcBorders>
          </w:tcPr>
          <w:p w14:paraId="41A670A3" w14:textId="62018649" w:rsidR="002B5EF5" w:rsidRDefault="002B5EF5" w:rsidP="002B5EF5">
            <w:pPr>
              <w:kinsoku w:val="0"/>
              <w:overflowPunct w:val="0"/>
              <w:autoSpaceDE w:val="0"/>
              <w:autoSpaceDN w:val="0"/>
              <w:adjustRightInd w:val="0"/>
              <w:spacing w:after="0" w:line="240" w:lineRule="auto"/>
              <w:jc w:val="center"/>
            </w:pPr>
            <w:r>
              <w:t>1010</w:t>
            </w:r>
          </w:p>
        </w:tc>
        <w:tc>
          <w:tcPr>
            <w:tcW w:w="1104" w:type="dxa"/>
            <w:tcBorders>
              <w:top w:val="single" w:sz="4" w:space="0" w:color="000000"/>
              <w:left w:val="single" w:sz="4" w:space="0" w:color="000000"/>
              <w:bottom w:val="single" w:sz="4" w:space="0" w:color="000000"/>
              <w:right w:val="single" w:sz="4" w:space="0" w:color="000000"/>
            </w:tcBorders>
          </w:tcPr>
          <w:p w14:paraId="2B9F250B" w14:textId="77777777" w:rsidR="002B5EF5" w:rsidRDefault="002B5EF5" w:rsidP="002B5EF5">
            <w:pPr>
              <w:kinsoku w:val="0"/>
              <w:overflowPunct w:val="0"/>
              <w:autoSpaceDE w:val="0"/>
              <w:autoSpaceDN w:val="0"/>
              <w:adjustRightInd w:val="0"/>
              <w:spacing w:after="0" w:line="240" w:lineRule="auto"/>
              <w:jc w:val="center"/>
            </w:pPr>
            <w:r>
              <w:t>1071</w:t>
            </w:r>
          </w:p>
          <w:p w14:paraId="293C0238" w14:textId="2A5A133F" w:rsidR="002B5EF5" w:rsidRDefault="002B5EF5" w:rsidP="002B5EF5">
            <w:pPr>
              <w:kinsoku w:val="0"/>
              <w:overflowPunct w:val="0"/>
              <w:autoSpaceDE w:val="0"/>
              <w:autoSpaceDN w:val="0"/>
              <w:adjustRightInd w:val="0"/>
              <w:spacing w:after="0" w:line="240" w:lineRule="auto"/>
              <w:jc w:val="center"/>
            </w:pPr>
          </w:p>
        </w:tc>
      </w:tr>
      <w:tr w:rsidR="002B5EF5" w:rsidRPr="00900F0C" w14:paraId="7DCDD7F6" w14:textId="77777777" w:rsidTr="002B5EF5">
        <w:trPr>
          <w:trHeight w:hRule="exact" w:val="892"/>
        </w:trPr>
        <w:tc>
          <w:tcPr>
            <w:tcW w:w="1063" w:type="dxa"/>
            <w:tcBorders>
              <w:top w:val="single" w:sz="4" w:space="0" w:color="000000"/>
              <w:left w:val="single" w:sz="4" w:space="0" w:color="000000"/>
              <w:bottom w:val="single" w:sz="4" w:space="0" w:color="000000"/>
              <w:right w:val="single" w:sz="4" w:space="0" w:color="000000"/>
            </w:tcBorders>
          </w:tcPr>
          <w:p w14:paraId="01BDBEF5" w14:textId="77777777" w:rsidR="002B5EF5" w:rsidRDefault="002B5EF5" w:rsidP="002B5EF5">
            <w:pPr>
              <w:kinsoku w:val="0"/>
              <w:overflowPunct w:val="0"/>
              <w:autoSpaceDE w:val="0"/>
              <w:autoSpaceDN w:val="0"/>
              <w:adjustRightInd w:val="0"/>
              <w:spacing w:after="0" w:line="240" w:lineRule="auto"/>
              <w:ind w:left="101"/>
              <w:jc w:val="center"/>
              <w:rPr>
                <w:b/>
              </w:rPr>
            </w:pPr>
            <w:r>
              <w:rPr>
                <w:b/>
              </w:rPr>
              <w:t>417312</w:t>
            </w:r>
          </w:p>
          <w:p w14:paraId="67536217" w14:textId="77777777" w:rsidR="002B5EF5" w:rsidRDefault="002B5EF5" w:rsidP="002B5EF5">
            <w:pPr>
              <w:kinsoku w:val="0"/>
              <w:overflowPunct w:val="0"/>
              <w:autoSpaceDE w:val="0"/>
              <w:autoSpaceDN w:val="0"/>
              <w:adjustRightInd w:val="0"/>
              <w:spacing w:after="0" w:line="240" w:lineRule="auto"/>
              <w:ind w:left="101"/>
              <w:jc w:val="center"/>
              <w:rPr>
                <w:b/>
              </w:rPr>
            </w:pPr>
            <w:r>
              <w:rPr>
                <w:b/>
              </w:rPr>
              <w:t>(FY 25)</w:t>
            </w:r>
          </w:p>
          <w:p w14:paraId="66E4B182" w14:textId="77777777" w:rsidR="002B5EF5" w:rsidRPr="00C86661" w:rsidRDefault="002B5EF5" w:rsidP="002B5EF5">
            <w:pPr>
              <w:kinsoku w:val="0"/>
              <w:overflowPunct w:val="0"/>
              <w:autoSpaceDE w:val="0"/>
              <w:autoSpaceDN w:val="0"/>
              <w:adjustRightInd w:val="0"/>
              <w:spacing w:after="0" w:line="240" w:lineRule="auto"/>
              <w:ind w:left="101"/>
              <w:jc w:val="center"/>
              <w:rPr>
                <w:b/>
              </w:rPr>
            </w:pPr>
          </w:p>
        </w:tc>
        <w:tc>
          <w:tcPr>
            <w:tcW w:w="1260" w:type="dxa"/>
            <w:tcBorders>
              <w:top w:val="single" w:sz="4" w:space="0" w:color="000000"/>
              <w:left w:val="single" w:sz="4" w:space="0" w:color="000000"/>
              <w:bottom w:val="single" w:sz="4" w:space="0" w:color="000000"/>
              <w:right w:val="single" w:sz="4" w:space="0" w:color="000000"/>
            </w:tcBorders>
          </w:tcPr>
          <w:p w14:paraId="0560B007" w14:textId="77777777" w:rsidR="002B5EF5" w:rsidRDefault="002B5EF5" w:rsidP="002B5EF5">
            <w:pPr>
              <w:kinsoku w:val="0"/>
              <w:overflowPunct w:val="0"/>
              <w:autoSpaceDE w:val="0"/>
              <w:autoSpaceDN w:val="0"/>
              <w:adjustRightInd w:val="0"/>
              <w:spacing w:line="273" w:lineRule="exact"/>
              <w:ind w:left="102"/>
              <w:jc w:val="center"/>
              <w:rPr>
                <w:sz w:val="20"/>
                <w:szCs w:val="20"/>
              </w:rPr>
            </w:pPr>
            <w:r>
              <w:rPr>
                <w:sz w:val="20"/>
                <w:szCs w:val="20"/>
              </w:rPr>
              <w:t>N/A</w:t>
            </w:r>
          </w:p>
          <w:p w14:paraId="6E7ABB64" w14:textId="77777777" w:rsidR="002B5EF5" w:rsidRDefault="002B5EF5" w:rsidP="002B5EF5">
            <w:pPr>
              <w:kinsoku w:val="0"/>
              <w:overflowPunct w:val="0"/>
              <w:autoSpaceDE w:val="0"/>
              <w:autoSpaceDN w:val="0"/>
              <w:adjustRightInd w:val="0"/>
              <w:spacing w:line="273" w:lineRule="exact"/>
              <w:ind w:left="102"/>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C2BDC2B" w14:textId="77777777" w:rsidR="002B5EF5" w:rsidRDefault="002B5EF5" w:rsidP="002B5EF5">
            <w:pPr>
              <w:kinsoku w:val="0"/>
              <w:overflowPunct w:val="0"/>
              <w:autoSpaceDE w:val="0"/>
              <w:autoSpaceDN w:val="0"/>
              <w:adjustRightInd w:val="0"/>
              <w:spacing w:line="273" w:lineRule="exact"/>
              <w:ind w:left="102"/>
              <w:jc w:val="center"/>
              <w:rPr>
                <w:sz w:val="20"/>
                <w:szCs w:val="20"/>
              </w:rPr>
            </w:pPr>
            <w:r>
              <w:rPr>
                <w:sz w:val="20"/>
                <w:szCs w:val="20"/>
              </w:rPr>
              <w:t>N/A</w:t>
            </w:r>
          </w:p>
          <w:p w14:paraId="7573CC22" w14:textId="77777777" w:rsidR="002B5EF5" w:rsidRDefault="002B5EF5" w:rsidP="002B5EF5">
            <w:pPr>
              <w:kinsoku w:val="0"/>
              <w:overflowPunct w:val="0"/>
              <w:autoSpaceDE w:val="0"/>
              <w:autoSpaceDN w:val="0"/>
              <w:adjustRightInd w:val="0"/>
              <w:spacing w:line="273" w:lineRule="exact"/>
              <w:jc w:val="center"/>
            </w:pPr>
          </w:p>
        </w:tc>
        <w:tc>
          <w:tcPr>
            <w:tcW w:w="1080" w:type="dxa"/>
            <w:tcBorders>
              <w:top w:val="single" w:sz="4" w:space="0" w:color="000000"/>
              <w:left w:val="single" w:sz="4" w:space="0" w:color="000000"/>
              <w:bottom w:val="single" w:sz="4" w:space="0" w:color="000000"/>
              <w:right w:val="single" w:sz="4" w:space="0" w:color="000000"/>
            </w:tcBorders>
          </w:tcPr>
          <w:p w14:paraId="766B2843" w14:textId="59AA2939" w:rsidR="002B5EF5" w:rsidRDefault="002B5EF5" w:rsidP="002B5EF5">
            <w:pPr>
              <w:kinsoku w:val="0"/>
              <w:overflowPunct w:val="0"/>
              <w:autoSpaceDE w:val="0"/>
              <w:autoSpaceDN w:val="0"/>
              <w:adjustRightInd w:val="0"/>
              <w:spacing w:line="273" w:lineRule="exact"/>
              <w:jc w:val="center"/>
            </w:pPr>
            <w:r>
              <w:t>N/A</w:t>
            </w:r>
          </w:p>
        </w:tc>
        <w:tc>
          <w:tcPr>
            <w:tcW w:w="1350" w:type="dxa"/>
            <w:tcBorders>
              <w:top w:val="single" w:sz="4" w:space="0" w:color="000000"/>
              <w:left w:val="single" w:sz="4" w:space="0" w:color="000000"/>
              <w:bottom w:val="single" w:sz="4" w:space="0" w:color="000000"/>
              <w:right w:val="single" w:sz="4" w:space="0" w:color="000000"/>
            </w:tcBorders>
          </w:tcPr>
          <w:p w14:paraId="07F4928C" w14:textId="6FFC541C" w:rsidR="002B5EF5" w:rsidRDefault="002B5EF5" w:rsidP="002B5EF5">
            <w:pPr>
              <w:kinsoku w:val="0"/>
              <w:overflowPunct w:val="0"/>
              <w:autoSpaceDE w:val="0"/>
              <w:autoSpaceDN w:val="0"/>
              <w:adjustRightInd w:val="0"/>
              <w:spacing w:line="273" w:lineRule="exact"/>
              <w:jc w:val="center"/>
            </w:pPr>
            <w:r>
              <w:t>N/A</w:t>
            </w:r>
          </w:p>
        </w:tc>
        <w:tc>
          <w:tcPr>
            <w:tcW w:w="1542" w:type="dxa"/>
            <w:tcBorders>
              <w:top w:val="single" w:sz="4" w:space="0" w:color="000000"/>
              <w:left w:val="single" w:sz="4" w:space="0" w:color="000000"/>
              <w:bottom w:val="single" w:sz="4" w:space="0" w:color="000000"/>
              <w:right w:val="single" w:sz="4" w:space="0" w:color="000000"/>
            </w:tcBorders>
          </w:tcPr>
          <w:p w14:paraId="31C41AE2" w14:textId="3E339F4C" w:rsidR="002B5EF5" w:rsidRDefault="002B5EF5" w:rsidP="002B5EF5">
            <w:pPr>
              <w:kinsoku w:val="0"/>
              <w:overflowPunct w:val="0"/>
              <w:autoSpaceDE w:val="0"/>
              <w:autoSpaceDN w:val="0"/>
              <w:adjustRightInd w:val="0"/>
              <w:spacing w:line="273" w:lineRule="exact"/>
              <w:jc w:val="center"/>
            </w:pPr>
            <w:r>
              <w:t>N/A</w:t>
            </w:r>
          </w:p>
        </w:tc>
        <w:tc>
          <w:tcPr>
            <w:tcW w:w="1530" w:type="dxa"/>
            <w:tcBorders>
              <w:top w:val="single" w:sz="4" w:space="0" w:color="000000"/>
              <w:left w:val="single" w:sz="4" w:space="0" w:color="000000"/>
              <w:bottom w:val="single" w:sz="4" w:space="0" w:color="000000"/>
              <w:right w:val="single" w:sz="4" w:space="0" w:color="000000"/>
            </w:tcBorders>
          </w:tcPr>
          <w:p w14:paraId="4B481A35" w14:textId="5D72FA74" w:rsidR="002B5EF5" w:rsidRDefault="002B5EF5" w:rsidP="002B5EF5">
            <w:pPr>
              <w:kinsoku w:val="0"/>
              <w:overflowPunct w:val="0"/>
              <w:autoSpaceDE w:val="0"/>
              <w:autoSpaceDN w:val="0"/>
              <w:adjustRightInd w:val="0"/>
              <w:spacing w:line="273" w:lineRule="exact"/>
              <w:jc w:val="center"/>
            </w:pPr>
            <w:r>
              <w:t>N/A</w:t>
            </w:r>
          </w:p>
        </w:tc>
        <w:tc>
          <w:tcPr>
            <w:tcW w:w="1350" w:type="dxa"/>
            <w:tcBorders>
              <w:top w:val="single" w:sz="4" w:space="0" w:color="000000"/>
              <w:left w:val="single" w:sz="4" w:space="0" w:color="000000"/>
              <w:bottom w:val="single" w:sz="4" w:space="0" w:color="000000"/>
              <w:right w:val="single" w:sz="4" w:space="0" w:color="000000"/>
            </w:tcBorders>
          </w:tcPr>
          <w:p w14:paraId="50696C9F" w14:textId="77777777" w:rsidR="002B5EF5" w:rsidRDefault="002B5EF5" w:rsidP="002B5EF5">
            <w:pPr>
              <w:kinsoku w:val="0"/>
              <w:overflowPunct w:val="0"/>
              <w:autoSpaceDE w:val="0"/>
              <w:autoSpaceDN w:val="0"/>
              <w:adjustRightInd w:val="0"/>
              <w:spacing w:after="0" w:line="240" w:lineRule="auto"/>
              <w:jc w:val="center"/>
            </w:pPr>
            <w:r>
              <w:t>1010</w:t>
            </w:r>
          </w:p>
          <w:p w14:paraId="445DF9E2" w14:textId="77777777" w:rsidR="002B5EF5" w:rsidRDefault="002B5EF5" w:rsidP="002B5EF5">
            <w:pPr>
              <w:kinsoku w:val="0"/>
              <w:overflowPunct w:val="0"/>
              <w:autoSpaceDE w:val="0"/>
              <w:autoSpaceDN w:val="0"/>
              <w:adjustRightInd w:val="0"/>
              <w:spacing w:after="0" w:line="240" w:lineRule="auto"/>
              <w:jc w:val="center"/>
            </w:pPr>
            <w:r>
              <w:t>1011</w:t>
            </w:r>
          </w:p>
          <w:p w14:paraId="28222F62" w14:textId="0533EF8F" w:rsidR="002B5EF5" w:rsidRDefault="002B5EF5" w:rsidP="002B5EF5">
            <w:pPr>
              <w:kinsoku w:val="0"/>
              <w:overflowPunct w:val="0"/>
              <w:autoSpaceDE w:val="0"/>
              <w:autoSpaceDN w:val="0"/>
              <w:adjustRightInd w:val="0"/>
              <w:spacing w:line="273" w:lineRule="exact"/>
              <w:jc w:val="center"/>
            </w:pPr>
          </w:p>
        </w:tc>
        <w:tc>
          <w:tcPr>
            <w:tcW w:w="1146" w:type="dxa"/>
            <w:tcBorders>
              <w:top w:val="single" w:sz="4" w:space="0" w:color="000000"/>
              <w:left w:val="single" w:sz="4" w:space="0" w:color="000000"/>
              <w:bottom w:val="single" w:sz="4" w:space="0" w:color="000000"/>
              <w:right w:val="single" w:sz="4" w:space="0" w:color="000000"/>
            </w:tcBorders>
          </w:tcPr>
          <w:p w14:paraId="66F54940" w14:textId="77777777" w:rsidR="002B5EF5" w:rsidRDefault="002B5EF5" w:rsidP="002B5EF5">
            <w:pPr>
              <w:kinsoku w:val="0"/>
              <w:overflowPunct w:val="0"/>
              <w:autoSpaceDE w:val="0"/>
              <w:autoSpaceDN w:val="0"/>
              <w:adjustRightInd w:val="0"/>
              <w:spacing w:after="0" w:line="240" w:lineRule="auto"/>
              <w:jc w:val="center"/>
            </w:pPr>
            <w:r>
              <w:t>1010</w:t>
            </w:r>
          </w:p>
          <w:p w14:paraId="2CF3958D" w14:textId="77777777" w:rsidR="002B5EF5" w:rsidRDefault="002B5EF5" w:rsidP="002B5EF5">
            <w:pPr>
              <w:kinsoku w:val="0"/>
              <w:overflowPunct w:val="0"/>
              <w:autoSpaceDE w:val="0"/>
              <w:autoSpaceDN w:val="0"/>
              <w:adjustRightInd w:val="0"/>
              <w:spacing w:after="0" w:line="240" w:lineRule="auto"/>
              <w:jc w:val="center"/>
            </w:pPr>
            <w:r>
              <w:t>1011</w:t>
            </w:r>
          </w:p>
          <w:p w14:paraId="42808B0F" w14:textId="0ED8A881" w:rsidR="002B5EF5" w:rsidRDefault="002B5EF5" w:rsidP="002B5EF5">
            <w:pPr>
              <w:kinsoku w:val="0"/>
              <w:overflowPunct w:val="0"/>
              <w:autoSpaceDE w:val="0"/>
              <w:autoSpaceDN w:val="0"/>
              <w:adjustRightInd w:val="0"/>
              <w:spacing w:after="0" w:line="240" w:lineRule="auto"/>
              <w:jc w:val="center"/>
            </w:pPr>
          </w:p>
        </w:tc>
        <w:tc>
          <w:tcPr>
            <w:tcW w:w="1104" w:type="dxa"/>
            <w:tcBorders>
              <w:top w:val="single" w:sz="4" w:space="0" w:color="000000"/>
              <w:left w:val="single" w:sz="4" w:space="0" w:color="000000"/>
              <w:bottom w:val="single" w:sz="4" w:space="0" w:color="000000"/>
              <w:right w:val="single" w:sz="4" w:space="0" w:color="000000"/>
            </w:tcBorders>
          </w:tcPr>
          <w:p w14:paraId="58638ABA" w14:textId="0909E1D5" w:rsidR="002B5EF5" w:rsidRDefault="002B5EF5" w:rsidP="002B5EF5">
            <w:pPr>
              <w:kinsoku w:val="0"/>
              <w:overflowPunct w:val="0"/>
              <w:autoSpaceDE w:val="0"/>
              <w:autoSpaceDN w:val="0"/>
              <w:adjustRightInd w:val="0"/>
              <w:spacing w:after="0" w:line="240" w:lineRule="auto"/>
              <w:jc w:val="center"/>
            </w:pPr>
            <w:r>
              <w:t>1071</w:t>
            </w:r>
          </w:p>
        </w:tc>
      </w:tr>
    </w:tbl>
    <w:p w14:paraId="1B3E2EE1" w14:textId="77777777" w:rsidR="00682338" w:rsidRDefault="00682338" w:rsidP="00682338">
      <w:pPr>
        <w:autoSpaceDE w:val="0"/>
        <w:autoSpaceDN w:val="0"/>
        <w:adjustRightInd w:val="0"/>
        <w:rPr>
          <w:b/>
          <w:bCs/>
        </w:rPr>
      </w:pPr>
    </w:p>
    <w:p w14:paraId="7C541061" w14:textId="77777777" w:rsidR="00EE378A" w:rsidRDefault="00EE378A">
      <w:pPr>
        <w:rPr>
          <w:rFonts w:ascii="Times New Roman" w:hAnsi="Times New Roman" w:cs="Times New Roman"/>
          <w:sz w:val="24"/>
          <w:szCs w:val="24"/>
        </w:rPr>
      </w:pPr>
    </w:p>
    <w:p w14:paraId="592051A5" w14:textId="77777777" w:rsidR="005D39D9" w:rsidRDefault="005D39D9">
      <w:pPr>
        <w:rPr>
          <w:rFonts w:ascii="Times New Roman" w:hAnsi="Times New Roman" w:cs="Times New Roman"/>
          <w:sz w:val="24"/>
          <w:szCs w:val="24"/>
        </w:rPr>
      </w:pPr>
    </w:p>
    <w:p w14:paraId="51A1A0E3" w14:textId="77777777" w:rsidR="005D39D9" w:rsidRDefault="005D39D9">
      <w:pPr>
        <w:rPr>
          <w:rFonts w:ascii="Times New Roman" w:hAnsi="Times New Roman" w:cs="Times New Roman"/>
          <w:sz w:val="24"/>
          <w:szCs w:val="24"/>
        </w:rPr>
      </w:pPr>
    </w:p>
    <w:p w14:paraId="3D678EC7" w14:textId="77777777" w:rsidR="006264D0" w:rsidRDefault="006264D0">
      <w:pPr>
        <w:rPr>
          <w:rFonts w:ascii="Times New Roman" w:hAnsi="Times New Roman" w:cs="Times New Roman"/>
          <w:sz w:val="24"/>
          <w:szCs w:val="24"/>
        </w:rPr>
      </w:pPr>
    </w:p>
    <w:p w14:paraId="3BF15E4F" w14:textId="77777777" w:rsidR="005D39D9" w:rsidRDefault="005D39D9">
      <w:pPr>
        <w:rPr>
          <w:rFonts w:ascii="Times New Roman" w:hAnsi="Times New Roman" w:cs="Times New Roman"/>
          <w:sz w:val="24"/>
          <w:szCs w:val="24"/>
        </w:rPr>
      </w:pPr>
    </w:p>
    <w:p w14:paraId="01BDA256" w14:textId="77777777" w:rsidR="005D39D9" w:rsidRDefault="005D39D9">
      <w:pPr>
        <w:rPr>
          <w:rFonts w:ascii="Times New Roman" w:hAnsi="Times New Roman" w:cs="Times New Roman"/>
          <w:sz w:val="24"/>
          <w:szCs w:val="24"/>
        </w:rPr>
      </w:pPr>
    </w:p>
    <w:p w14:paraId="7AC34533" w14:textId="77777777" w:rsidR="005D39D9" w:rsidRDefault="005D39D9">
      <w:pPr>
        <w:rPr>
          <w:rFonts w:ascii="Times New Roman" w:hAnsi="Times New Roman" w:cs="Times New Roman"/>
          <w:sz w:val="24"/>
          <w:szCs w:val="24"/>
        </w:rPr>
      </w:pPr>
    </w:p>
    <w:p w14:paraId="07123D6A" w14:textId="77777777" w:rsidR="005D39D9" w:rsidRDefault="005D39D9">
      <w:pPr>
        <w:rPr>
          <w:rFonts w:ascii="Times New Roman" w:hAnsi="Times New Roman" w:cs="Times New Roman"/>
          <w:sz w:val="24"/>
          <w:szCs w:val="24"/>
        </w:rPr>
      </w:pPr>
    </w:p>
    <w:p w14:paraId="6BB4BEB8" w14:textId="77777777" w:rsidR="006264D0" w:rsidRDefault="006264D0">
      <w:pPr>
        <w:rPr>
          <w:rFonts w:ascii="Times New Roman" w:hAnsi="Times New Roman" w:cs="Times New Roman"/>
          <w:sz w:val="24"/>
          <w:szCs w:val="24"/>
        </w:rPr>
      </w:pPr>
    </w:p>
    <w:p w14:paraId="3833508F" w14:textId="77777777" w:rsidR="005D39D9" w:rsidRDefault="005D39D9">
      <w:pPr>
        <w:rPr>
          <w:rFonts w:ascii="Times New Roman" w:hAnsi="Times New Roman" w:cs="Times New Roman"/>
          <w:sz w:val="24"/>
          <w:szCs w:val="24"/>
        </w:rPr>
      </w:pPr>
    </w:p>
    <w:p w14:paraId="10949C13" w14:textId="77777777" w:rsidR="00473F0A" w:rsidRDefault="00473F0A" w:rsidP="00473F0A">
      <w:pPr>
        <w:spacing w:after="0" w:line="240" w:lineRule="auto"/>
        <w:jc w:val="center"/>
        <w:rPr>
          <w:rFonts w:ascii="Times New Roman" w:hAnsi="Times New Roman" w:cs="Times New Roman"/>
          <w:b/>
          <w:bCs/>
          <w:sz w:val="28"/>
          <w:szCs w:val="28"/>
          <w:u w:val="single"/>
        </w:rPr>
      </w:pPr>
      <w:r w:rsidRPr="00C01ED1">
        <w:rPr>
          <w:rFonts w:ascii="Times New Roman" w:hAnsi="Times New Roman" w:cs="Times New Roman"/>
          <w:b/>
          <w:bCs/>
          <w:sz w:val="28"/>
          <w:szCs w:val="28"/>
          <w:u w:val="single"/>
        </w:rPr>
        <w:lastRenderedPageBreak/>
        <w:t>Attribute Table Additions:</w:t>
      </w:r>
    </w:p>
    <w:p w14:paraId="30343322" w14:textId="77777777" w:rsidR="00473F0A" w:rsidRDefault="00473F0A" w:rsidP="00473F0A">
      <w:pPr>
        <w:spacing w:after="0" w:line="240" w:lineRule="auto"/>
        <w:jc w:val="center"/>
        <w:rPr>
          <w:rFonts w:ascii="Times New Roman" w:hAnsi="Times New Roman" w:cs="Times New Roman"/>
          <w:b/>
          <w:bCs/>
          <w:sz w:val="28"/>
          <w:szCs w:val="28"/>
          <w:u w:val="single"/>
        </w:rPr>
      </w:pPr>
    </w:p>
    <w:p w14:paraId="5D9A7BF6" w14:textId="77777777" w:rsidR="00473F0A" w:rsidRDefault="00473F0A" w:rsidP="00473F0A">
      <w:pPr>
        <w:spacing w:after="0" w:line="240" w:lineRule="auto"/>
        <w:jc w:val="center"/>
        <w:rPr>
          <w:rFonts w:ascii="Times New Roman" w:hAnsi="Times New Roman" w:cs="Times New Roman"/>
          <w:b/>
          <w:bCs/>
          <w:sz w:val="28"/>
          <w:szCs w:val="28"/>
          <w:u w:val="single"/>
        </w:rPr>
      </w:pPr>
    </w:p>
    <w:tbl>
      <w:tblPr>
        <w:tblStyle w:val="TableGrid"/>
        <w:tblW w:w="13275" w:type="dxa"/>
        <w:tblInd w:w="-680" w:type="dxa"/>
        <w:tblLayout w:type="fixed"/>
        <w:tblLook w:val="04A0" w:firstRow="1" w:lastRow="0" w:firstColumn="1" w:lastColumn="0" w:noHBand="0" w:noVBand="1"/>
      </w:tblPr>
      <w:tblGrid>
        <w:gridCol w:w="886"/>
        <w:gridCol w:w="2309"/>
        <w:gridCol w:w="900"/>
        <w:gridCol w:w="810"/>
        <w:gridCol w:w="630"/>
        <w:gridCol w:w="720"/>
        <w:gridCol w:w="720"/>
        <w:gridCol w:w="630"/>
        <w:gridCol w:w="720"/>
        <w:gridCol w:w="720"/>
        <w:gridCol w:w="1080"/>
        <w:gridCol w:w="810"/>
        <w:gridCol w:w="810"/>
        <w:gridCol w:w="810"/>
        <w:gridCol w:w="720"/>
      </w:tblGrid>
      <w:tr w:rsidR="00BA071C" w:rsidRPr="00444472" w14:paraId="7675BA7B" w14:textId="77777777" w:rsidTr="00BA071C">
        <w:trPr>
          <w:trHeight w:val="762"/>
        </w:trPr>
        <w:tc>
          <w:tcPr>
            <w:tcW w:w="886" w:type="dxa"/>
          </w:tcPr>
          <w:p w14:paraId="0A9279B1" w14:textId="77777777" w:rsidR="00BA071C" w:rsidRPr="00473F0A" w:rsidRDefault="00BA071C" w:rsidP="002D5445">
            <w:pPr>
              <w:jc w:val="both"/>
              <w:rPr>
                <w:rFonts w:ascii="Arial Narrow" w:hAnsi="Arial Narrow"/>
                <w:b/>
                <w:bCs/>
              </w:rPr>
            </w:pPr>
            <w:r w:rsidRPr="00473F0A">
              <w:rPr>
                <w:rFonts w:ascii="Arial Narrow" w:hAnsi="Arial Narrow"/>
                <w:b/>
                <w:bCs/>
              </w:rPr>
              <w:t>USSGL</w:t>
            </w:r>
          </w:p>
          <w:p w14:paraId="30532F4D" w14:textId="77777777" w:rsidR="00BA071C" w:rsidRPr="00473F0A" w:rsidRDefault="00BA071C" w:rsidP="002D5445">
            <w:pPr>
              <w:jc w:val="both"/>
              <w:rPr>
                <w:rFonts w:ascii="Arial Narrow" w:hAnsi="Arial Narrow"/>
                <w:b/>
                <w:bCs/>
              </w:rPr>
            </w:pPr>
            <w:r w:rsidRPr="00473F0A">
              <w:rPr>
                <w:rFonts w:ascii="Arial Narrow" w:hAnsi="Arial Narrow"/>
                <w:b/>
                <w:bCs/>
              </w:rPr>
              <w:t>Acct.</w:t>
            </w:r>
          </w:p>
        </w:tc>
        <w:tc>
          <w:tcPr>
            <w:tcW w:w="2309" w:type="dxa"/>
          </w:tcPr>
          <w:p w14:paraId="024A7910" w14:textId="77777777" w:rsidR="00BA071C" w:rsidRPr="00473F0A" w:rsidRDefault="00BA071C" w:rsidP="002D5445">
            <w:pPr>
              <w:jc w:val="both"/>
              <w:rPr>
                <w:rFonts w:ascii="Arial Narrow" w:hAnsi="Arial Narrow"/>
                <w:b/>
                <w:bCs/>
              </w:rPr>
            </w:pPr>
            <w:r w:rsidRPr="00473F0A">
              <w:rPr>
                <w:rFonts w:ascii="Arial Narrow" w:hAnsi="Arial Narrow"/>
                <w:b/>
                <w:bCs/>
              </w:rPr>
              <w:t>USSGL Account Title</w:t>
            </w:r>
          </w:p>
        </w:tc>
        <w:tc>
          <w:tcPr>
            <w:tcW w:w="900" w:type="dxa"/>
          </w:tcPr>
          <w:p w14:paraId="7E13175A" w14:textId="77777777" w:rsidR="00BA071C" w:rsidRPr="00473F0A" w:rsidRDefault="00BA071C" w:rsidP="002D5445">
            <w:pPr>
              <w:jc w:val="both"/>
              <w:rPr>
                <w:rFonts w:ascii="Arial Narrow" w:hAnsi="Arial Narrow"/>
                <w:b/>
                <w:bCs/>
              </w:rPr>
            </w:pPr>
            <w:proofErr w:type="spellStart"/>
            <w:r w:rsidRPr="00473F0A">
              <w:rPr>
                <w:rFonts w:ascii="Arial Narrow" w:hAnsi="Arial Narrow"/>
                <w:b/>
                <w:bCs/>
              </w:rPr>
              <w:t>Antici</w:t>
            </w:r>
            <w:proofErr w:type="spellEnd"/>
            <w:r w:rsidRPr="00473F0A">
              <w:rPr>
                <w:rFonts w:ascii="Arial Narrow" w:hAnsi="Arial Narrow"/>
                <w:b/>
                <w:bCs/>
              </w:rPr>
              <w:t>-</w:t>
            </w:r>
          </w:p>
          <w:p w14:paraId="3D73CEE9" w14:textId="77777777" w:rsidR="00BA071C" w:rsidRPr="00473F0A" w:rsidRDefault="00BA071C" w:rsidP="002D5445">
            <w:pPr>
              <w:jc w:val="both"/>
              <w:rPr>
                <w:rFonts w:ascii="Arial Narrow" w:hAnsi="Arial Narrow"/>
                <w:b/>
                <w:bCs/>
              </w:rPr>
            </w:pPr>
            <w:r w:rsidRPr="00473F0A">
              <w:rPr>
                <w:rFonts w:ascii="Arial Narrow" w:hAnsi="Arial Narrow"/>
                <w:b/>
                <w:bCs/>
              </w:rPr>
              <w:t xml:space="preserve">pated </w:t>
            </w:r>
          </w:p>
        </w:tc>
        <w:tc>
          <w:tcPr>
            <w:tcW w:w="810" w:type="dxa"/>
          </w:tcPr>
          <w:p w14:paraId="1783CA95" w14:textId="77777777" w:rsidR="00BA071C" w:rsidRDefault="00BA071C" w:rsidP="002D5445">
            <w:pPr>
              <w:jc w:val="both"/>
              <w:rPr>
                <w:rFonts w:ascii="Arial Narrow" w:hAnsi="Arial Narrow"/>
                <w:b/>
                <w:bCs/>
                <w:sz w:val="20"/>
                <w:szCs w:val="20"/>
              </w:rPr>
            </w:pPr>
            <w:r>
              <w:rPr>
                <w:rFonts w:ascii="Arial Narrow" w:hAnsi="Arial Narrow"/>
                <w:b/>
                <w:bCs/>
                <w:sz w:val="20"/>
                <w:szCs w:val="20"/>
              </w:rPr>
              <w:t xml:space="preserve">Auth </w:t>
            </w:r>
          </w:p>
          <w:p w14:paraId="1ED58AC0" w14:textId="300FEA28" w:rsidR="00BA071C" w:rsidRPr="00473F0A" w:rsidRDefault="00BA071C" w:rsidP="002D5445">
            <w:pPr>
              <w:jc w:val="both"/>
              <w:rPr>
                <w:rFonts w:ascii="Arial Narrow" w:hAnsi="Arial Narrow"/>
                <w:b/>
                <w:bCs/>
                <w:sz w:val="20"/>
                <w:szCs w:val="20"/>
              </w:rPr>
            </w:pPr>
            <w:r>
              <w:rPr>
                <w:rFonts w:ascii="Arial Narrow" w:hAnsi="Arial Narrow"/>
                <w:b/>
                <w:bCs/>
                <w:sz w:val="20"/>
                <w:szCs w:val="20"/>
              </w:rPr>
              <w:t>Type</w:t>
            </w:r>
          </w:p>
        </w:tc>
        <w:tc>
          <w:tcPr>
            <w:tcW w:w="630" w:type="dxa"/>
          </w:tcPr>
          <w:p w14:paraId="0138B3E2" w14:textId="77777777" w:rsidR="00BA071C" w:rsidRPr="00473F0A" w:rsidRDefault="00BA071C" w:rsidP="002D5445">
            <w:pPr>
              <w:jc w:val="both"/>
              <w:rPr>
                <w:rFonts w:ascii="Arial Narrow" w:hAnsi="Arial Narrow"/>
                <w:b/>
                <w:bCs/>
              </w:rPr>
            </w:pPr>
            <w:r w:rsidRPr="00473F0A">
              <w:rPr>
                <w:rFonts w:ascii="Arial Narrow" w:hAnsi="Arial Narrow"/>
                <w:b/>
                <w:bCs/>
              </w:rPr>
              <w:t>PYA</w:t>
            </w:r>
          </w:p>
        </w:tc>
        <w:tc>
          <w:tcPr>
            <w:tcW w:w="720" w:type="dxa"/>
          </w:tcPr>
          <w:p w14:paraId="77598731" w14:textId="77777777" w:rsidR="00BA071C" w:rsidRPr="00473F0A" w:rsidRDefault="00BA071C" w:rsidP="002D5445">
            <w:pPr>
              <w:jc w:val="both"/>
              <w:rPr>
                <w:rFonts w:ascii="Arial Narrow" w:hAnsi="Arial Narrow" w:cs="Times New Roman"/>
                <w:b/>
                <w:bCs/>
                <w:sz w:val="20"/>
                <w:szCs w:val="20"/>
              </w:rPr>
            </w:pPr>
            <w:r w:rsidRPr="00473F0A">
              <w:rPr>
                <w:rFonts w:ascii="Arial Narrow" w:hAnsi="Arial Narrow" w:cs="Times New Roman"/>
                <w:b/>
                <w:bCs/>
                <w:sz w:val="20"/>
                <w:szCs w:val="20"/>
              </w:rPr>
              <w:t>Begin</w:t>
            </w:r>
          </w:p>
          <w:p w14:paraId="40A45571" w14:textId="77777777" w:rsidR="00BA071C" w:rsidRPr="00473F0A" w:rsidRDefault="00BA071C" w:rsidP="002D5445">
            <w:pPr>
              <w:jc w:val="both"/>
              <w:rPr>
                <w:rFonts w:ascii="Arial Narrow" w:hAnsi="Arial Narrow"/>
                <w:b/>
                <w:bCs/>
              </w:rPr>
            </w:pPr>
            <w:r w:rsidRPr="00473F0A">
              <w:rPr>
                <w:rFonts w:ascii="Arial Narrow" w:hAnsi="Arial Narrow" w:cs="Times New Roman"/>
                <w:b/>
                <w:bCs/>
                <w:sz w:val="20"/>
                <w:szCs w:val="20"/>
              </w:rPr>
              <w:t>/End</w:t>
            </w:r>
          </w:p>
        </w:tc>
        <w:tc>
          <w:tcPr>
            <w:tcW w:w="720" w:type="dxa"/>
          </w:tcPr>
          <w:p w14:paraId="7B6EB1FB" w14:textId="77777777" w:rsidR="00BA071C" w:rsidRPr="00473F0A" w:rsidRDefault="00BA071C" w:rsidP="002D5445">
            <w:pPr>
              <w:jc w:val="both"/>
              <w:rPr>
                <w:rFonts w:ascii="Arial Narrow" w:hAnsi="Arial Narrow"/>
                <w:b/>
                <w:bCs/>
                <w:sz w:val="20"/>
                <w:szCs w:val="20"/>
              </w:rPr>
            </w:pPr>
            <w:r w:rsidRPr="00473F0A">
              <w:rPr>
                <w:rFonts w:ascii="Arial Narrow" w:hAnsi="Arial Narrow"/>
                <w:b/>
                <w:bCs/>
                <w:sz w:val="20"/>
                <w:szCs w:val="20"/>
              </w:rPr>
              <w:t>Debit/</w:t>
            </w:r>
          </w:p>
          <w:p w14:paraId="60AED388" w14:textId="77777777" w:rsidR="00BA071C" w:rsidRPr="00473F0A" w:rsidRDefault="00BA071C" w:rsidP="002D5445">
            <w:pPr>
              <w:jc w:val="both"/>
              <w:rPr>
                <w:rFonts w:ascii="Arial Narrow" w:hAnsi="Arial Narrow"/>
                <w:b/>
                <w:bCs/>
              </w:rPr>
            </w:pPr>
            <w:r w:rsidRPr="00473F0A">
              <w:rPr>
                <w:rFonts w:ascii="Arial Narrow" w:hAnsi="Arial Narrow"/>
                <w:b/>
                <w:bCs/>
                <w:sz w:val="20"/>
                <w:szCs w:val="20"/>
              </w:rPr>
              <w:t>Credit</w:t>
            </w:r>
          </w:p>
        </w:tc>
        <w:tc>
          <w:tcPr>
            <w:tcW w:w="630" w:type="dxa"/>
          </w:tcPr>
          <w:p w14:paraId="2DF5F13B" w14:textId="77777777" w:rsidR="00BA071C" w:rsidRPr="00473F0A" w:rsidRDefault="00BA071C" w:rsidP="002D5445">
            <w:pPr>
              <w:jc w:val="both"/>
              <w:rPr>
                <w:rFonts w:ascii="Arial Narrow" w:hAnsi="Arial Narrow"/>
                <w:b/>
                <w:bCs/>
              </w:rPr>
            </w:pPr>
            <w:r w:rsidRPr="00473F0A">
              <w:rPr>
                <w:rFonts w:ascii="Arial Narrow" w:hAnsi="Arial Narrow"/>
                <w:b/>
                <w:bCs/>
              </w:rPr>
              <w:t>BEA Cat</w:t>
            </w:r>
          </w:p>
        </w:tc>
        <w:tc>
          <w:tcPr>
            <w:tcW w:w="720" w:type="dxa"/>
          </w:tcPr>
          <w:p w14:paraId="3BB103D5" w14:textId="77777777" w:rsidR="00BA071C" w:rsidRDefault="00BA071C" w:rsidP="002D5445">
            <w:pPr>
              <w:jc w:val="both"/>
              <w:rPr>
                <w:rFonts w:ascii="Arial Narrow" w:hAnsi="Arial Narrow"/>
                <w:b/>
                <w:bCs/>
              </w:rPr>
            </w:pPr>
            <w:r>
              <w:rPr>
                <w:rFonts w:ascii="Arial Narrow" w:hAnsi="Arial Narrow"/>
                <w:b/>
                <w:bCs/>
              </w:rPr>
              <w:t>Fed/</w:t>
            </w:r>
          </w:p>
          <w:p w14:paraId="63412A98" w14:textId="6C9030C0" w:rsidR="00BA071C" w:rsidRPr="00473F0A" w:rsidRDefault="00BA071C" w:rsidP="002D5445">
            <w:pPr>
              <w:jc w:val="both"/>
              <w:rPr>
                <w:rFonts w:ascii="Arial Narrow" w:hAnsi="Arial Narrow"/>
                <w:b/>
                <w:bCs/>
              </w:rPr>
            </w:pPr>
            <w:r>
              <w:rPr>
                <w:rFonts w:ascii="Arial Narrow" w:hAnsi="Arial Narrow"/>
                <w:b/>
                <w:bCs/>
              </w:rPr>
              <w:t>Non-Fed</w:t>
            </w:r>
          </w:p>
        </w:tc>
        <w:tc>
          <w:tcPr>
            <w:tcW w:w="720" w:type="dxa"/>
          </w:tcPr>
          <w:p w14:paraId="4F3442B1" w14:textId="4631100A" w:rsidR="00BA071C" w:rsidRPr="00473F0A" w:rsidRDefault="00BA071C" w:rsidP="002D5445">
            <w:pPr>
              <w:jc w:val="both"/>
              <w:rPr>
                <w:rFonts w:ascii="Arial Narrow" w:hAnsi="Arial Narrow"/>
                <w:b/>
                <w:bCs/>
              </w:rPr>
            </w:pPr>
            <w:proofErr w:type="spellStart"/>
            <w:r w:rsidRPr="00473F0A">
              <w:rPr>
                <w:rFonts w:ascii="Arial Narrow" w:hAnsi="Arial Narrow"/>
                <w:b/>
                <w:bCs/>
              </w:rPr>
              <w:t>Reim</w:t>
            </w:r>
            <w:proofErr w:type="spellEnd"/>
          </w:p>
          <w:p w14:paraId="22EF6D79" w14:textId="77777777" w:rsidR="00BA071C" w:rsidRPr="00473F0A" w:rsidRDefault="00BA071C" w:rsidP="002D5445">
            <w:pPr>
              <w:jc w:val="both"/>
              <w:rPr>
                <w:rFonts w:ascii="Arial Narrow" w:hAnsi="Arial Narrow"/>
                <w:b/>
                <w:bCs/>
              </w:rPr>
            </w:pPr>
            <w:r w:rsidRPr="00473F0A">
              <w:rPr>
                <w:rFonts w:ascii="Arial Narrow" w:hAnsi="Arial Narrow"/>
                <w:b/>
                <w:bCs/>
              </w:rPr>
              <w:t>Flag</w:t>
            </w:r>
          </w:p>
        </w:tc>
        <w:tc>
          <w:tcPr>
            <w:tcW w:w="1080" w:type="dxa"/>
          </w:tcPr>
          <w:p w14:paraId="56478762" w14:textId="77777777" w:rsidR="00BA071C" w:rsidRPr="00473F0A" w:rsidRDefault="00BA071C" w:rsidP="002D5445">
            <w:pPr>
              <w:jc w:val="center"/>
              <w:rPr>
                <w:rFonts w:ascii="Arial Narrow" w:hAnsi="Arial Narrow"/>
                <w:b/>
                <w:bCs/>
              </w:rPr>
            </w:pPr>
            <w:r w:rsidRPr="00473F0A">
              <w:rPr>
                <w:rFonts w:ascii="Arial Narrow" w:hAnsi="Arial Narrow"/>
                <w:b/>
                <w:bCs/>
              </w:rPr>
              <w:t>Fund</w:t>
            </w:r>
          </w:p>
          <w:p w14:paraId="11219EEF" w14:textId="77777777" w:rsidR="00BA071C" w:rsidRPr="00473F0A" w:rsidRDefault="00BA071C" w:rsidP="002D5445">
            <w:pPr>
              <w:jc w:val="center"/>
              <w:rPr>
                <w:rFonts w:ascii="Arial Narrow" w:hAnsi="Arial Narrow"/>
                <w:b/>
                <w:bCs/>
              </w:rPr>
            </w:pPr>
            <w:r w:rsidRPr="00473F0A">
              <w:rPr>
                <w:rFonts w:ascii="Arial Narrow" w:hAnsi="Arial Narrow"/>
                <w:b/>
                <w:bCs/>
              </w:rPr>
              <w:t>Type</w:t>
            </w:r>
          </w:p>
        </w:tc>
        <w:tc>
          <w:tcPr>
            <w:tcW w:w="810" w:type="dxa"/>
          </w:tcPr>
          <w:p w14:paraId="6C95368F" w14:textId="77777777" w:rsidR="00BA071C" w:rsidRDefault="00BA071C" w:rsidP="002D5445">
            <w:pPr>
              <w:jc w:val="both"/>
              <w:rPr>
                <w:rFonts w:ascii="Arial Narrow" w:hAnsi="Arial Narrow"/>
                <w:b/>
                <w:bCs/>
              </w:rPr>
            </w:pPr>
            <w:r>
              <w:rPr>
                <w:rFonts w:ascii="Arial Narrow" w:hAnsi="Arial Narrow"/>
                <w:b/>
                <w:bCs/>
              </w:rPr>
              <w:t>Reduction</w:t>
            </w:r>
          </w:p>
          <w:p w14:paraId="579A6F4A" w14:textId="43501F0A" w:rsidR="00BA071C" w:rsidRPr="00473F0A" w:rsidRDefault="00BA071C" w:rsidP="002D5445">
            <w:pPr>
              <w:jc w:val="both"/>
              <w:rPr>
                <w:rFonts w:ascii="Arial Narrow" w:hAnsi="Arial Narrow"/>
                <w:b/>
                <w:bCs/>
              </w:rPr>
            </w:pPr>
            <w:r>
              <w:rPr>
                <w:rFonts w:ascii="Arial Narrow" w:hAnsi="Arial Narrow"/>
                <w:b/>
                <w:bCs/>
              </w:rPr>
              <w:t>Type</w:t>
            </w:r>
          </w:p>
        </w:tc>
        <w:tc>
          <w:tcPr>
            <w:tcW w:w="810" w:type="dxa"/>
          </w:tcPr>
          <w:p w14:paraId="5AAC4631" w14:textId="77777777" w:rsidR="00BA071C" w:rsidRPr="00473F0A" w:rsidRDefault="00BA071C" w:rsidP="002D5445">
            <w:pPr>
              <w:jc w:val="both"/>
              <w:rPr>
                <w:rFonts w:ascii="Arial Narrow" w:hAnsi="Arial Narrow"/>
                <w:b/>
                <w:bCs/>
              </w:rPr>
            </w:pPr>
            <w:r w:rsidRPr="00473F0A">
              <w:rPr>
                <w:rFonts w:ascii="Arial Narrow" w:hAnsi="Arial Narrow"/>
                <w:b/>
                <w:bCs/>
              </w:rPr>
              <w:t>Fin.</w:t>
            </w:r>
          </w:p>
          <w:p w14:paraId="1E0DBD9D" w14:textId="77777777" w:rsidR="00BA071C" w:rsidRPr="00473F0A" w:rsidRDefault="00BA071C" w:rsidP="002D5445">
            <w:pPr>
              <w:jc w:val="both"/>
              <w:rPr>
                <w:rFonts w:ascii="Arial Narrow" w:hAnsi="Arial Narrow"/>
                <w:b/>
                <w:bCs/>
              </w:rPr>
            </w:pPr>
            <w:r w:rsidRPr="00473F0A">
              <w:rPr>
                <w:rFonts w:ascii="Arial Narrow" w:hAnsi="Arial Narrow"/>
                <w:b/>
                <w:bCs/>
              </w:rPr>
              <w:t>Acct.</w:t>
            </w:r>
          </w:p>
          <w:p w14:paraId="102FF486" w14:textId="77777777" w:rsidR="00BA071C" w:rsidRPr="00473F0A" w:rsidRDefault="00BA071C" w:rsidP="002D5445">
            <w:pPr>
              <w:jc w:val="both"/>
              <w:rPr>
                <w:rFonts w:ascii="Arial Narrow" w:hAnsi="Arial Narrow"/>
                <w:b/>
                <w:bCs/>
              </w:rPr>
            </w:pPr>
            <w:r w:rsidRPr="00473F0A">
              <w:rPr>
                <w:rFonts w:ascii="Arial Narrow" w:hAnsi="Arial Narrow"/>
                <w:b/>
                <w:bCs/>
              </w:rPr>
              <w:t>Code</w:t>
            </w:r>
          </w:p>
        </w:tc>
        <w:tc>
          <w:tcPr>
            <w:tcW w:w="810" w:type="dxa"/>
          </w:tcPr>
          <w:p w14:paraId="1AC46CE8" w14:textId="77777777" w:rsidR="00BA071C" w:rsidRPr="00473F0A" w:rsidRDefault="00BA071C" w:rsidP="002D5445">
            <w:pPr>
              <w:jc w:val="both"/>
              <w:rPr>
                <w:rFonts w:ascii="Arial Narrow" w:hAnsi="Arial Narrow"/>
                <w:b/>
                <w:bCs/>
              </w:rPr>
            </w:pPr>
            <w:r w:rsidRPr="00473F0A">
              <w:rPr>
                <w:rFonts w:ascii="Arial Narrow" w:hAnsi="Arial Narrow"/>
                <w:b/>
                <w:bCs/>
              </w:rPr>
              <w:t>TAS</w:t>
            </w:r>
          </w:p>
          <w:p w14:paraId="7C92CAE8" w14:textId="77777777" w:rsidR="00BA071C" w:rsidRPr="00473F0A" w:rsidRDefault="00BA071C" w:rsidP="002D5445">
            <w:pPr>
              <w:jc w:val="both"/>
              <w:rPr>
                <w:rFonts w:ascii="Arial Narrow" w:hAnsi="Arial Narrow"/>
                <w:b/>
                <w:bCs/>
              </w:rPr>
            </w:pPr>
            <w:r w:rsidRPr="00473F0A">
              <w:rPr>
                <w:rFonts w:ascii="Arial Narrow" w:hAnsi="Arial Narrow"/>
                <w:b/>
                <w:bCs/>
              </w:rPr>
              <w:t>Status</w:t>
            </w:r>
          </w:p>
        </w:tc>
        <w:tc>
          <w:tcPr>
            <w:tcW w:w="720" w:type="dxa"/>
          </w:tcPr>
          <w:p w14:paraId="267F2330" w14:textId="77777777" w:rsidR="00BA071C" w:rsidRPr="00473F0A" w:rsidRDefault="00BA071C" w:rsidP="002D5445">
            <w:pPr>
              <w:jc w:val="both"/>
              <w:rPr>
                <w:rFonts w:ascii="Arial Narrow" w:hAnsi="Arial Narrow"/>
                <w:b/>
                <w:bCs/>
              </w:rPr>
            </w:pPr>
            <w:r w:rsidRPr="00473F0A">
              <w:rPr>
                <w:rFonts w:ascii="Arial Narrow" w:hAnsi="Arial Narrow"/>
                <w:b/>
                <w:bCs/>
              </w:rPr>
              <w:t>Trans Code</w:t>
            </w:r>
          </w:p>
        </w:tc>
      </w:tr>
      <w:tr w:rsidR="00BA071C" w:rsidRPr="00444472" w14:paraId="7C137C1A" w14:textId="77777777" w:rsidTr="00BA071C">
        <w:trPr>
          <w:trHeight w:val="1070"/>
        </w:trPr>
        <w:tc>
          <w:tcPr>
            <w:tcW w:w="886" w:type="dxa"/>
          </w:tcPr>
          <w:p w14:paraId="1D7FFCEB" w14:textId="03FD6BC3" w:rsidR="00BA071C" w:rsidRPr="00473F0A" w:rsidRDefault="00BA071C" w:rsidP="002D5445">
            <w:pPr>
              <w:rPr>
                <w:rFonts w:ascii="Arial Narrow" w:hAnsi="Arial Narrow"/>
                <w:b/>
                <w:bCs/>
              </w:rPr>
            </w:pPr>
            <w:r>
              <w:rPr>
                <w:rFonts w:ascii="Arial Narrow" w:hAnsi="Arial Narrow"/>
                <w:b/>
                <w:bCs/>
              </w:rPr>
              <w:t>417112</w:t>
            </w:r>
          </w:p>
          <w:p w14:paraId="52167D24" w14:textId="3E8DB40B" w:rsidR="00BA071C" w:rsidRPr="00473F0A" w:rsidRDefault="00BA071C" w:rsidP="002D5445">
            <w:pPr>
              <w:rPr>
                <w:rFonts w:ascii="Arial Narrow" w:hAnsi="Arial Narrow"/>
                <w:b/>
                <w:bCs/>
              </w:rPr>
            </w:pPr>
            <w:r w:rsidRPr="00473F0A">
              <w:rPr>
                <w:rFonts w:ascii="Arial Narrow" w:hAnsi="Arial Narrow"/>
                <w:b/>
                <w:bCs/>
              </w:rPr>
              <w:t>(FY 2</w:t>
            </w:r>
            <w:r>
              <w:rPr>
                <w:rFonts w:ascii="Arial Narrow" w:hAnsi="Arial Narrow"/>
                <w:b/>
                <w:bCs/>
              </w:rPr>
              <w:t>5</w:t>
            </w:r>
            <w:r w:rsidRPr="00473F0A">
              <w:rPr>
                <w:rFonts w:ascii="Arial Narrow" w:hAnsi="Arial Narrow"/>
                <w:b/>
                <w:bCs/>
              </w:rPr>
              <w:t>)</w:t>
            </w:r>
          </w:p>
        </w:tc>
        <w:tc>
          <w:tcPr>
            <w:tcW w:w="2309" w:type="dxa"/>
          </w:tcPr>
          <w:p w14:paraId="43CBA9A4" w14:textId="6133C78F" w:rsidR="00BA071C" w:rsidRPr="00473F0A" w:rsidRDefault="00BA071C" w:rsidP="002D5445">
            <w:pPr>
              <w:autoSpaceDE w:val="0"/>
              <w:autoSpaceDN w:val="0"/>
              <w:adjustRightInd w:val="0"/>
              <w:rPr>
                <w:rFonts w:ascii="Arial Narrow" w:hAnsi="Arial Narrow" w:cs="Times New Roman"/>
                <w:sz w:val="24"/>
                <w:szCs w:val="24"/>
              </w:rPr>
            </w:pPr>
            <w:r w:rsidRPr="00473F0A">
              <w:rPr>
                <w:rFonts w:ascii="Arial Narrow" w:hAnsi="Arial Narrow" w:cs="Times New Roman"/>
                <w:sz w:val="24"/>
                <w:szCs w:val="24"/>
              </w:rPr>
              <w:t>Non-Allocation Transfers of Invested Balances - Receivable - Prior-Year</w:t>
            </w:r>
          </w:p>
        </w:tc>
        <w:tc>
          <w:tcPr>
            <w:tcW w:w="900" w:type="dxa"/>
          </w:tcPr>
          <w:p w14:paraId="7737D111" w14:textId="60C4683D" w:rsidR="00BA071C" w:rsidRPr="00473F0A" w:rsidRDefault="00BA071C" w:rsidP="002D5445">
            <w:pPr>
              <w:jc w:val="center"/>
              <w:rPr>
                <w:rFonts w:ascii="Arial Narrow" w:hAnsi="Arial Narrow"/>
              </w:rPr>
            </w:pPr>
            <w:r>
              <w:rPr>
                <w:rFonts w:ascii="Arial Narrow" w:hAnsi="Arial Narrow"/>
              </w:rPr>
              <w:t>N</w:t>
            </w:r>
          </w:p>
        </w:tc>
        <w:tc>
          <w:tcPr>
            <w:tcW w:w="810" w:type="dxa"/>
          </w:tcPr>
          <w:p w14:paraId="335C66DF" w14:textId="6D96BB7F" w:rsidR="00BA071C" w:rsidRPr="00473F0A" w:rsidRDefault="00BA071C" w:rsidP="002D5445">
            <w:pPr>
              <w:jc w:val="center"/>
              <w:rPr>
                <w:rFonts w:ascii="Arial Narrow" w:hAnsi="Arial Narrow"/>
              </w:rPr>
            </w:pPr>
            <w:r>
              <w:rPr>
                <w:rFonts w:ascii="Arial Narrow" w:hAnsi="Arial Narrow"/>
              </w:rPr>
              <w:t>P</w:t>
            </w:r>
          </w:p>
        </w:tc>
        <w:tc>
          <w:tcPr>
            <w:tcW w:w="630" w:type="dxa"/>
          </w:tcPr>
          <w:p w14:paraId="7D7B4C09" w14:textId="0CE50B8E" w:rsidR="00BA071C" w:rsidRPr="00473F0A" w:rsidRDefault="00BA071C" w:rsidP="002D5445">
            <w:pPr>
              <w:jc w:val="center"/>
              <w:rPr>
                <w:rFonts w:ascii="Arial Narrow" w:hAnsi="Arial Narrow"/>
              </w:rPr>
            </w:pPr>
            <w:r>
              <w:rPr>
                <w:rFonts w:ascii="Arial Narrow" w:hAnsi="Arial Narrow"/>
              </w:rPr>
              <w:t>X</w:t>
            </w:r>
          </w:p>
        </w:tc>
        <w:tc>
          <w:tcPr>
            <w:tcW w:w="720" w:type="dxa"/>
          </w:tcPr>
          <w:p w14:paraId="7E21008F" w14:textId="56DFFE38" w:rsidR="00BA071C" w:rsidRPr="00473F0A" w:rsidRDefault="00BA071C" w:rsidP="002D5445">
            <w:pPr>
              <w:jc w:val="center"/>
              <w:rPr>
                <w:rFonts w:ascii="Arial Narrow" w:hAnsi="Arial Narrow"/>
              </w:rPr>
            </w:pPr>
            <w:r>
              <w:rPr>
                <w:rFonts w:ascii="Arial Narrow" w:hAnsi="Arial Narrow"/>
              </w:rPr>
              <w:t>E</w:t>
            </w:r>
          </w:p>
        </w:tc>
        <w:tc>
          <w:tcPr>
            <w:tcW w:w="720" w:type="dxa"/>
          </w:tcPr>
          <w:p w14:paraId="531F6190" w14:textId="6A288F32" w:rsidR="00BA071C" w:rsidRPr="00473F0A" w:rsidRDefault="00BA071C" w:rsidP="002D5445">
            <w:pPr>
              <w:jc w:val="center"/>
              <w:rPr>
                <w:rFonts w:ascii="Arial Narrow" w:hAnsi="Arial Narrow"/>
              </w:rPr>
            </w:pPr>
            <w:r>
              <w:rPr>
                <w:rFonts w:ascii="Arial Narrow" w:hAnsi="Arial Narrow"/>
              </w:rPr>
              <w:t>D</w:t>
            </w:r>
          </w:p>
        </w:tc>
        <w:tc>
          <w:tcPr>
            <w:tcW w:w="630" w:type="dxa"/>
          </w:tcPr>
          <w:p w14:paraId="75EEB5A3" w14:textId="3F9E23A2" w:rsidR="00BA071C" w:rsidRPr="00473F0A" w:rsidRDefault="00BA071C" w:rsidP="002D5445">
            <w:pPr>
              <w:jc w:val="center"/>
              <w:rPr>
                <w:rFonts w:ascii="Arial Narrow" w:hAnsi="Arial Narrow"/>
              </w:rPr>
            </w:pPr>
            <w:r>
              <w:rPr>
                <w:rFonts w:ascii="Arial Narrow" w:hAnsi="Arial Narrow"/>
              </w:rPr>
              <w:t>D/M</w:t>
            </w:r>
          </w:p>
        </w:tc>
        <w:tc>
          <w:tcPr>
            <w:tcW w:w="720" w:type="dxa"/>
          </w:tcPr>
          <w:p w14:paraId="2403A63D" w14:textId="72AB23ED" w:rsidR="00BA071C" w:rsidRDefault="00BA071C" w:rsidP="002D5445">
            <w:pPr>
              <w:jc w:val="center"/>
              <w:rPr>
                <w:rFonts w:ascii="Arial Narrow" w:hAnsi="Arial Narrow"/>
              </w:rPr>
            </w:pPr>
            <w:r>
              <w:rPr>
                <w:rFonts w:ascii="Arial Narrow" w:hAnsi="Arial Narrow"/>
              </w:rPr>
              <w:t>F</w:t>
            </w:r>
          </w:p>
        </w:tc>
        <w:tc>
          <w:tcPr>
            <w:tcW w:w="720" w:type="dxa"/>
          </w:tcPr>
          <w:p w14:paraId="61BB36BC" w14:textId="560BF6B0" w:rsidR="00BA071C" w:rsidRPr="00473F0A" w:rsidRDefault="00BA071C" w:rsidP="002D5445">
            <w:pPr>
              <w:jc w:val="center"/>
              <w:rPr>
                <w:rFonts w:ascii="Arial Narrow" w:hAnsi="Arial Narrow"/>
              </w:rPr>
            </w:pPr>
            <w:r>
              <w:rPr>
                <w:rFonts w:ascii="Arial Narrow" w:hAnsi="Arial Narrow"/>
              </w:rPr>
              <w:t>D</w:t>
            </w:r>
          </w:p>
        </w:tc>
        <w:tc>
          <w:tcPr>
            <w:tcW w:w="1080" w:type="dxa"/>
          </w:tcPr>
          <w:p w14:paraId="4C73A77D" w14:textId="5B97644B" w:rsidR="00BA071C" w:rsidRPr="00473F0A" w:rsidRDefault="00BA071C" w:rsidP="002D5445">
            <w:pPr>
              <w:jc w:val="center"/>
              <w:rPr>
                <w:rFonts w:ascii="Arial Narrow" w:hAnsi="Arial Narrow"/>
                <w:color w:val="000000"/>
              </w:rPr>
            </w:pPr>
            <w:r>
              <w:rPr>
                <w:rFonts w:ascii="Arial Narrow" w:hAnsi="Arial Narrow"/>
                <w:color w:val="000000"/>
              </w:rPr>
              <w:t>EG/ES/ET</w:t>
            </w:r>
          </w:p>
        </w:tc>
        <w:tc>
          <w:tcPr>
            <w:tcW w:w="810" w:type="dxa"/>
          </w:tcPr>
          <w:p w14:paraId="0BED55FB" w14:textId="37FF9B2A" w:rsidR="00BA071C" w:rsidRPr="00473F0A" w:rsidRDefault="00BA071C" w:rsidP="002D5445">
            <w:pPr>
              <w:jc w:val="center"/>
              <w:rPr>
                <w:rFonts w:ascii="Arial Narrow" w:hAnsi="Arial Narrow"/>
              </w:rPr>
            </w:pPr>
            <w:r>
              <w:rPr>
                <w:rFonts w:ascii="Arial Narrow" w:hAnsi="Arial Narrow"/>
              </w:rPr>
              <w:t>XXX</w:t>
            </w:r>
          </w:p>
        </w:tc>
        <w:tc>
          <w:tcPr>
            <w:tcW w:w="810" w:type="dxa"/>
          </w:tcPr>
          <w:p w14:paraId="2B08436B" w14:textId="1BE961B9" w:rsidR="00BA071C" w:rsidRPr="00473F0A" w:rsidRDefault="00BA071C" w:rsidP="002D5445">
            <w:pPr>
              <w:jc w:val="center"/>
              <w:rPr>
                <w:rFonts w:ascii="Arial Narrow" w:hAnsi="Arial Narrow"/>
              </w:rPr>
            </w:pPr>
            <w:r>
              <w:rPr>
                <w:rFonts w:ascii="Arial Narrow" w:hAnsi="Arial Narrow"/>
              </w:rPr>
              <w:t>N</w:t>
            </w:r>
          </w:p>
        </w:tc>
        <w:tc>
          <w:tcPr>
            <w:tcW w:w="810" w:type="dxa"/>
          </w:tcPr>
          <w:p w14:paraId="770F336A" w14:textId="59EF6D2F" w:rsidR="00BA071C" w:rsidRPr="00473F0A" w:rsidRDefault="00BA071C" w:rsidP="002D5445">
            <w:pPr>
              <w:jc w:val="center"/>
              <w:rPr>
                <w:rFonts w:ascii="Arial Narrow" w:hAnsi="Arial Narrow"/>
              </w:rPr>
            </w:pPr>
            <w:r>
              <w:rPr>
                <w:rFonts w:ascii="Arial Narrow" w:hAnsi="Arial Narrow"/>
              </w:rPr>
              <w:t>U</w:t>
            </w:r>
          </w:p>
        </w:tc>
        <w:tc>
          <w:tcPr>
            <w:tcW w:w="720" w:type="dxa"/>
          </w:tcPr>
          <w:p w14:paraId="1D3457A8" w14:textId="3CC991C1" w:rsidR="00BA071C" w:rsidRPr="00473F0A" w:rsidRDefault="00BA071C" w:rsidP="002D5445">
            <w:pPr>
              <w:jc w:val="center"/>
              <w:rPr>
                <w:rFonts w:ascii="Arial Narrow" w:hAnsi="Arial Narrow"/>
              </w:rPr>
            </w:pPr>
            <w:r>
              <w:rPr>
                <w:rFonts w:ascii="Arial Narrow" w:hAnsi="Arial Narrow"/>
              </w:rPr>
              <w:t>X/K/N</w:t>
            </w:r>
          </w:p>
        </w:tc>
      </w:tr>
      <w:tr w:rsidR="00BA071C" w:rsidRPr="00444472" w14:paraId="6FF5A8A8" w14:textId="77777777" w:rsidTr="00BA071C">
        <w:trPr>
          <w:trHeight w:val="1070"/>
        </w:trPr>
        <w:tc>
          <w:tcPr>
            <w:tcW w:w="886" w:type="dxa"/>
          </w:tcPr>
          <w:p w14:paraId="128CFADE" w14:textId="4156020B" w:rsidR="00BA071C" w:rsidRPr="00473F0A" w:rsidRDefault="00BA071C" w:rsidP="002D5445">
            <w:pPr>
              <w:rPr>
                <w:rFonts w:ascii="Arial Narrow" w:hAnsi="Arial Narrow"/>
                <w:b/>
                <w:bCs/>
              </w:rPr>
            </w:pPr>
            <w:r w:rsidRPr="00473F0A">
              <w:rPr>
                <w:rFonts w:ascii="Arial Narrow" w:hAnsi="Arial Narrow"/>
                <w:b/>
                <w:bCs/>
              </w:rPr>
              <w:t>4</w:t>
            </w:r>
            <w:r>
              <w:rPr>
                <w:rFonts w:ascii="Arial Narrow" w:hAnsi="Arial Narrow"/>
                <w:b/>
                <w:bCs/>
              </w:rPr>
              <w:t>17212</w:t>
            </w:r>
          </w:p>
          <w:p w14:paraId="4580CF38" w14:textId="619449AB" w:rsidR="00BA071C" w:rsidRPr="00473F0A" w:rsidRDefault="00BA071C" w:rsidP="002D5445">
            <w:pPr>
              <w:rPr>
                <w:rFonts w:ascii="Arial Narrow" w:hAnsi="Arial Narrow"/>
                <w:b/>
                <w:bCs/>
              </w:rPr>
            </w:pPr>
            <w:r w:rsidRPr="00473F0A">
              <w:rPr>
                <w:rFonts w:ascii="Arial Narrow" w:hAnsi="Arial Narrow"/>
                <w:b/>
                <w:bCs/>
              </w:rPr>
              <w:t>(FY 2</w:t>
            </w:r>
            <w:r>
              <w:rPr>
                <w:rFonts w:ascii="Arial Narrow" w:hAnsi="Arial Narrow"/>
                <w:b/>
                <w:bCs/>
              </w:rPr>
              <w:t>5</w:t>
            </w:r>
            <w:r w:rsidRPr="00473F0A">
              <w:rPr>
                <w:rFonts w:ascii="Arial Narrow" w:hAnsi="Arial Narrow"/>
                <w:b/>
                <w:bCs/>
              </w:rPr>
              <w:t>)</w:t>
            </w:r>
          </w:p>
        </w:tc>
        <w:tc>
          <w:tcPr>
            <w:tcW w:w="2309" w:type="dxa"/>
          </w:tcPr>
          <w:p w14:paraId="799A7680" w14:textId="4598FA11" w:rsidR="00BA071C" w:rsidRPr="00473F0A" w:rsidRDefault="00BA071C" w:rsidP="002D5445">
            <w:pPr>
              <w:autoSpaceDE w:val="0"/>
              <w:autoSpaceDN w:val="0"/>
              <w:adjustRightInd w:val="0"/>
              <w:rPr>
                <w:rFonts w:ascii="Arial Narrow" w:hAnsi="Arial Narrow" w:cs="Times New Roman"/>
                <w:sz w:val="24"/>
                <w:szCs w:val="24"/>
              </w:rPr>
            </w:pPr>
            <w:r w:rsidRPr="00473F0A">
              <w:rPr>
                <w:rFonts w:ascii="Arial Narrow" w:hAnsi="Arial Narrow" w:cs="Courier New"/>
                <w:bCs/>
                <w:sz w:val="24"/>
              </w:rPr>
              <w:t>Non-Allocation Transfers of Invested Balances - Payable - Prior-Year</w:t>
            </w:r>
          </w:p>
        </w:tc>
        <w:tc>
          <w:tcPr>
            <w:tcW w:w="900" w:type="dxa"/>
          </w:tcPr>
          <w:p w14:paraId="35C10091" w14:textId="69DFD2CF" w:rsidR="00BA071C" w:rsidRPr="00473F0A" w:rsidRDefault="00BA071C" w:rsidP="002D5445">
            <w:pPr>
              <w:jc w:val="center"/>
              <w:rPr>
                <w:rFonts w:ascii="Arial Narrow" w:hAnsi="Arial Narrow"/>
              </w:rPr>
            </w:pPr>
            <w:r>
              <w:rPr>
                <w:rFonts w:ascii="Arial Narrow" w:hAnsi="Arial Narrow"/>
              </w:rPr>
              <w:t>N</w:t>
            </w:r>
          </w:p>
        </w:tc>
        <w:tc>
          <w:tcPr>
            <w:tcW w:w="810" w:type="dxa"/>
          </w:tcPr>
          <w:p w14:paraId="483F7C17" w14:textId="5D4BA8FB" w:rsidR="00BA071C" w:rsidRPr="00473F0A" w:rsidRDefault="00BA071C" w:rsidP="002D5445">
            <w:pPr>
              <w:jc w:val="center"/>
              <w:rPr>
                <w:rFonts w:ascii="Arial Narrow" w:hAnsi="Arial Narrow"/>
              </w:rPr>
            </w:pPr>
            <w:r>
              <w:rPr>
                <w:rFonts w:ascii="Arial Narrow" w:hAnsi="Arial Narrow"/>
              </w:rPr>
              <w:t>P/S</w:t>
            </w:r>
          </w:p>
        </w:tc>
        <w:tc>
          <w:tcPr>
            <w:tcW w:w="630" w:type="dxa"/>
          </w:tcPr>
          <w:p w14:paraId="468847C9" w14:textId="381ABDDE" w:rsidR="00BA071C" w:rsidRPr="00473F0A" w:rsidRDefault="00BA071C" w:rsidP="002D5445">
            <w:pPr>
              <w:jc w:val="center"/>
              <w:rPr>
                <w:rFonts w:ascii="Arial Narrow" w:hAnsi="Arial Narrow"/>
              </w:rPr>
            </w:pPr>
            <w:r>
              <w:rPr>
                <w:rFonts w:ascii="Arial Narrow" w:hAnsi="Arial Narrow"/>
              </w:rPr>
              <w:t>X</w:t>
            </w:r>
          </w:p>
        </w:tc>
        <w:tc>
          <w:tcPr>
            <w:tcW w:w="720" w:type="dxa"/>
          </w:tcPr>
          <w:p w14:paraId="7536C428" w14:textId="3A9E9667" w:rsidR="00BA071C" w:rsidRPr="00473F0A" w:rsidRDefault="00BA071C" w:rsidP="002D5445">
            <w:pPr>
              <w:jc w:val="center"/>
              <w:rPr>
                <w:rFonts w:ascii="Arial Narrow" w:hAnsi="Arial Narrow"/>
              </w:rPr>
            </w:pPr>
            <w:r>
              <w:rPr>
                <w:rFonts w:ascii="Arial Narrow" w:hAnsi="Arial Narrow"/>
              </w:rPr>
              <w:t>E</w:t>
            </w:r>
          </w:p>
        </w:tc>
        <w:tc>
          <w:tcPr>
            <w:tcW w:w="720" w:type="dxa"/>
          </w:tcPr>
          <w:p w14:paraId="51102013" w14:textId="63F06688" w:rsidR="00BA071C" w:rsidRPr="00473F0A" w:rsidRDefault="00BA071C" w:rsidP="002D5445">
            <w:pPr>
              <w:jc w:val="center"/>
              <w:rPr>
                <w:rFonts w:ascii="Arial Narrow" w:hAnsi="Arial Narrow"/>
              </w:rPr>
            </w:pPr>
            <w:r>
              <w:rPr>
                <w:rFonts w:ascii="Arial Narrow" w:hAnsi="Arial Narrow"/>
              </w:rPr>
              <w:t>C</w:t>
            </w:r>
          </w:p>
        </w:tc>
        <w:tc>
          <w:tcPr>
            <w:tcW w:w="630" w:type="dxa"/>
          </w:tcPr>
          <w:p w14:paraId="72AB6851" w14:textId="189A6C2A" w:rsidR="00BA071C" w:rsidRPr="00473F0A" w:rsidRDefault="00BA071C" w:rsidP="002D5445">
            <w:pPr>
              <w:jc w:val="center"/>
              <w:rPr>
                <w:rFonts w:ascii="Arial Narrow" w:hAnsi="Arial Narrow"/>
              </w:rPr>
            </w:pPr>
            <w:r>
              <w:rPr>
                <w:rFonts w:ascii="Arial Narrow" w:hAnsi="Arial Narrow"/>
              </w:rPr>
              <w:t>M</w:t>
            </w:r>
          </w:p>
        </w:tc>
        <w:tc>
          <w:tcPr>
            <w:tcW w:w="720" w:type="dxa"/>
          </w:tcPr>
          <w:p w14:paraId="07437806" w14:textId="77344B4A" w:rsidR="00BA071C" w:rsidRPr="00473F0A" w:rsidRDefault="00BA071C" w:rsidP="002D5445">
            <w:pPr>
              <w:jc w:val="center"/>
              <w:rPr>
                <w:rFonts w:ascii="Arial Narrow" w:hAnsi="Arial Narrow"/>
              </w:rPr>
            </w:pPr>
            <w:r>
              <w:rPr>
                <w:rFonts w:ascii="Arial Narrow" w:hAnsi="Arial Narrow"/>
              </w:rPr>
              <w:t>F</w:t>
            </w:r>
          </w:p>
        </w:tc>
        <w:tc>
          <w:tcPr>
            <w:tcW w:w="720" w:type="dxa"/>
          </w:tcPr>
          <w:p w14:paraId="34CDEF73" w14:textId="2C395364" w:rsidR="00BA071C" w:rsidRPr="00473F0A" w:rsidRDefault="00BA071C" w:rsidP="002D5445">
            <w:pPr>
              <w:jc w:val="center"/>
              <w:rPr>
                <w:rFonts w:ascii="Arial Narrow" w:hAnsi="Arial Narrow"/>
              </w:rPr>
            </w:pPr>
            <w:r>
              <w:rPr>
                <w:rFonts w:ascii="Arial Narrow" w:hAnsi="Arial Narrow"/>
              </w:rPr>
              <w:t>D</w:t>
            </w:r>
          </w:p>
        </w:tc>
        <w:tc>
          <w:tcPr>
            <w:tcW w:w="1080" w:type="dxa"/>
          </w:tcPr>
          <w:p w14:paraId="5B67EAB7" w14:textId="1461D477" w:rsidR="00BA071C" w:rsidRPr="00473F0A" w:rsidRDefault="00BA071C" w:rsidP="002D5445">
            <w:pPr>
              <w:jc w:val="center"/>
              <w:rPr>
                <w:rFonts w:ascii="Arial Narrow" w:hAnsi="Arial Narrow"/>
                <w:color w:val="000000"/>
              </w:rPr>
            </w:pPr>
            <w:r>
              <w:rPr>
                <w:rFonts w:ascii="Arial Narrow" w:hAnsi="Arial Narrow"/>
                <w:color w:val="000000"/>
              </w:rPr>
              <w:t>ES/ER/ET</w:t>
            </w:r>
          </w:p>
        </w:tc>
        <w:tc>
          <w:tcPr>
            <w:tcW w:w="810" w:type="dxa"/>
          </w:tcPr>
          <w:p w14:paraId="3CA44373" w14:textId="471D701D" w:rsidR="00BA071C" w:rsidRPr="00473F0A" w:rsidRDefault="00BA071C" w:rsidP="002D5445">
            <w:pPr>
              <w:jc w:val="center"/>
              <w:rPr>
                <w:rFonts w:ascii="Arial Narrow" w:hAnsi="Arial Narrow"/>
              </w:rPr>
            </w:pPr>
            <w:r>
              <w:rPr>
                <w:rFonts w:ascii="Arial Narrow" w:hAnsi="Arial Narrow"/>
              </w:rPr>
              <w:t>XXX</w:t>
            </w:r>
          </w:p>
        </w:tc>
        <w:tc>
          <w:tcPr>
            <w:tcW w:w="810" w:type="dxa"/>
          </w:tcPr>
          <w:p w14:paraId="04BC6BDF" w14:textId="4F62F1BC" w:rsidR="00BA071C" w:rsidRPr="00473F0A" w:rsidRDefault="00BA071C" w:rsidP="002D5445">
            <w:pPr>
              <w:jc w:val="center"/>
              <w:rPr>
                <w:rFonts w:ascii="Arial Narrow" w:hAnsi="Arial Narrow"/>
              </w:rPr>
            </w:pPr>
            <w:r>
              <w:rPr>
                <w:rFonts w:ascii="Arial Narrow" w:hAnsi="Arial Narrow"/>
              </w:rPr>
              <w:t>N</w:t>
            </w:r>
          </w:p>
        </w:tc>
        <w:tc>
          <w:tcPr>
            <w:tcW w:w="810" w:type="dxa"/>
          </w:tcPr>
          <w:p w14:paraId="4B82FC5D" w14:textId="21E0940A" w:rsidR="00BA071C" w:rsidRPr="00473F0A" w:rsidRDefault="00BA071C" w:rsidP="002D5445">
            <w:pPr>
              <w:jc w:val="center"/>
              <w:rPr>
                <w:rFonts w:ascii="Arial Narrow" w:hAnsi="Arial Narrow"/>
              </w:rPr>
            </w:pPr>
            <w:r>
              <w:rPr>
                <w:rFonts w:ascii="Arial Narrow" w:hAnsi="Arial Narrow"/>
              </w:rPr>
              <w:t>U</w:t>
            </w:r>
          </w:p>
        </w:tc>
        <w:tc>
          <w:tcPr>
            <w:tcW w:w="720" w:type="dxa"/>
          </w:tcPr>
          <w:p w14:paraId="7B185805" w14:textId="6A0D16FE" w:rsidR="00BA071C" w:rsidRPr="00473F0A" w:rsidRDefault="00BA071C" w:rsidP="002D5445">
            <w:pPr>
              <w:jc w:val="center"/>
              <w:rPr>
                <w:rFonts w:ascii="Arial Narrow" w:hAnsi="Arial Narrow"/>
              </w:rPr>
            </w:pPr>
            <w:r>
              <w:rPr>
                <w:rFonts w:ascii="Arial Narrow" w:hAnsi="Arial Narrow"/>
              </w:rPr>
              <w:t>X/N</w:t>
            </w:r>
          </w:p>
        </w:tc>
      </w:tr>
      <w:tr w:rsidR="00BA071C" w:rsidRPr="00444472" w14:paraId="56BF0199" w14:textId="77777777" w:rsidTr="00BA071C">
        <w:trPr>
          <w:trHeight w:val="1070"/>
        </w:trPr>
        <w:tc>
          <w:tcPr>
            <w:tcW w:w="886" w:type="dxa"/>
          </w:tcPr>
          <w:p w14:paraId="1CD9B05E" w14:textId="77777777" w:rsidR="00BA071C" w:rsidRDefault="00BA071C" w:rsidP="002D5445">
            <w:pPr>
              <w:rPr>
                <w:rFonts w:ascii="Arial Narrow" w:hAnsi="Arial Narrow"/>
                <w:b/>
                <w:bCs/>
              </w:rPr>
            </w:pPr>
            <w:r>
              <w:rPr>
                <w:rFonts w:ascii="Arial Narrow" w:hAnsi="Arial Narrow"/>
                <w:b/>
                <w:bCs/>
              </w:rPr>
              <w:t>417312</w:t>
            </w:r>
          </w:p>
          <w:p w14:paraId="4C44B01F" w14:textId="1C714726" w:rsidR="00BA071C" w:rsidRPr="00473F0A" w:rsidRDefault="00BA071C" w:rsidP="002D5445">
            <w:pPr>
              <w:rPr>
                <w:rFonts w:ascii="Arial Narrow" w:hAnsi="Arial Narrow"/>
                <w:b/>
                <w:bCs/>
              </w:rPr>
            </w:pPr>
            <w:r>
              <w:rPr>
                <w:rFonts w:ascii="Arial Narrow" w:hAnsi="Arial Narrow"/>
                <w:b/>
                <w:bCs/>
              </w:rPr>
              <w:t>(FY 25)</w:t>
            </w:r>
          </w:p>
        </w:tc>
        <w:tc>
          <w:tcPr>
            <w:tcW w:w="2309" w:type="dxa"/>
          </w:tcPr>
          <w:p w14:paraId="02256F68" w14:textId="7DF01878" w:rsidR="00BA071C" w:rsidRPr="00473F0A" w:rsidRDefault="00BA071C" w:rsidP="002D5445">
            <w:pPr>
              <w:autoSpaceDE w:val="0"/>
              <w:autoSpaceDN w:val="0"/>
              <w:adjustRightInd w:val="0"/>
              <w:rPr>
                <w:rFonts w:ascii="Arial Narrow" w:hAnsi="Arial Narrow" w:cs="Courier New"/>
                <w:bCs/>
                <w:sz w:val="24"/>
              </w:rPr>
            </w:pPr>
            <w:r w:rsidRPr="00473F0A">
              <w:rPr>
                <w:rFonts w:ascii="Arial Narrow" w:hAnsi="Arial Narrow" w:cs="Courier New"/>
                <w:bCs/>
                <w:sz w:val="24"/>
              </w:rPr>
              <w:t>Non-Allocation Transfers of Invested Balances - Transferred - Prior-Year</w:t>
            </w:r>
          </w:p>
        </w:tc>
        <w:tc>
          <w:tcPr>
            <w:tcW w:w="900" w:type="dxa"/>
          </w:tcPr>
          <w:p w14:paraId="712F9510" w14:textId="1DAB7CD0" w:rsidR="00BA071C" w:rsidRPr="00473F0A" w:rsidRDefault="00BA071C" w:rsidP="002D5445">
            <w:pPr>
              <w:jc w:val="center"/>
              <w:rPr>
                <w:rFonts w:ascii="Arial Narrow" w:hAnsi="Arial Narrow"/>
              </w:rPr>
            </w:pPr>
            <w:r>
              <w:rPr>
                <w:rFonts w:ascii="Arial Narrow" w:hAnsi="Arial Narrow"/>
              </w:rPr>
              <w:t>N</w:t>
            </w:r>
          </w:p>
        </w:tc>
        <w:tc>
          <w:tcPr>
            <w:tcW w:w="810" w:type="dxa"/>
          </w:tcPr>
          <w:p w14:paraId="49766E11" w14:textId="28032796" w:rsidR="00BA071C" w:rsidRPr="00473F0A" w:rsidRDefault="00BA071C" w:rsidP="002D5445">
            <w:pPr>
              <w:jc w:val="center"/>
              <w:rPr>
                <w:rFonts w:ascii="Arial Narrow" w:hAnsi="Arial Narrow"/>
              </w:rPr>
            </w:pPr>
            <w:r>
              <w:rPr>
                <w:rFonts w:ascii="Arial Narrow" w:hAnsi="Arial Narrow"/>
              </w:rPr>
              <w:t>P/S</w:t>
            </w:r>
          </w:p>
        </w:tc>
        <w:tc>
          <w:tcPr>
            <w:tcW w:w="630" w:type="dxa"/>
          </w:tcPr>
          <w:p w14:paraId="5F695844" w14:textId="74F2B234" w:rsidR="00BA071C" w:rsidRPr="00473F0A" w:rsidRDefault="00BA071C" w:rsidP="002D5445">
            <w:pPr>
              <w:jc w:val="center"/>
              <w:rPr>
                <w:rFonts w:ascii="Arial Narrow" w:hAnsi="Arial Narrow"/>
              </w:rPr>
            </w:pPr>
            <w:r>
              <w:rPr>
                <w:rFonts w:ascii="Arial Narrow" w:hAnsi="Arial Narrow"/>
              </w:rPr>
              <w:t>X</w:t>
            </w:r>
          </w:p>
        </w:tc>
        <w:tc>
          <w:tcPr>
            <w:tcW w:w="720" w:type="dxa"/>
          </w:tcPr>
          <w:p w14:paraId="676C1D97" w14:textId="1C127AEA" w:rsidR="00BA071C" w:rsidRPr="00473F0A" w:rsidRDefault="00BA071C" w:rsidP="002D5445">
            <w:pPr>
              <w:jc w:val="center"/>
              <w:rPr>
                <w:rFonts w:ascii="Arial Narrow" w:hAnsi="Arial Narrow"/>
              </w:rPr>
            </w:pPr>
            <w:r>
              <w:rPr>
                <w:rFonts w:ascii="Arial Narrow" w:hAnsi="Arial Narrow"/>
              </w:rPr>
              <w:t>E</w:t>
            </w:r>
          </w:p>
        </w:tc>
        <w:tc>
          <w:tcPr>
            <w:tcW w:w="720" w:type="dxa"/>
          </w:tcPr>
          <w:p w14:paraId="39B8117B" w14:textId="027CA44D" w:rsidR="00BA071C" w:rsidRPr="00473F0A" w:rsidRDefault="00BA071C" w:rsidP="002D5445">
            <w:pPr>
              <w:jc w:val="center"/>
              <w:rPr>
                <w:rFonts w:ascii="Arial Narrow" w:hAnsi="Arial Narrow"/>
              </w:rPr>
            </w:pPr>
            <w:r>
              <w:rPr>
                <w:rFonts w:ascii="Arial Narrow" w:hAnsi="Arial Narrow"/>
              </w:rPr>
              <w:t>D/C</w:t>
            </w:r>
          </w:p>
        </w:tc>
        <w:tc>
          <w:tcPr>
            <w:tcW w:w="630" w:type="dxa"/>
          </w:tcPr>
          <w:p w14:paraId="65837D8A" w14:textId="7677556E" w:rsidR="00BA071C" w:rsidRPr="00473F0A" w:rsidRDefault="00BA071C" w:rsidP="002D5445">
            <w:pPr>
              <w:jc w:val="center"/>
              <w:rPr>
                <w:rFonts w:ascii="Arial Narrow" w:hAnsi="Arial Narrow"/>
              </w:rPr>
            </w:pPr>
            <w:r>
              <w:rPr>
                <w:rFonts w:ascii="Arial Narrow" w:hAnsi="Arial Narrow"/>
              </w:rPr>
              <w:t>D/M</w:t>
            </w:r>
          </w:p>
        </w:tc>
        <w:tc>
          <w:tcPr>
            <w:tcW w:w="720" w:type="dxa"/>
          </w:tcPr>
          <w:p w14:paraId="7CF6A760" w14:textId="5B154A34" w:rsidR="00BA071C" w:rsidRPr="00473F0A" w:rsidRDefault="00BA071C" w:rsidP="002D5445">
            <w:pPr>
              <w:jc w:val="center"/>
              <w:rPr>
                <w:rFonts w:ascii="Arial Narrow" w:hAnsi="Arial Narrow"/>
              </w:rPr>
            </w:pPr>
            <w:r>
              <w:rPr>
                <w:rFonts w:ascii="Arial Narrow" w:hAnsi="Arial Narrow"/>
              </w:rPr>
              <w:t>F</w:t>
            </w:r>
          </w:p>
        </w:tc>
        <w:tc>
          <w:tcPr>
            <w:tcW w:w="720" w:type="dxa"/>
          </w:tcPr>
          <w:p w14:paraId="0073F985" w14:textId="5ACCA6CC" w:rsidR="00BA071C" w:rsidRPr="00473F0A" w:rsidRDefault="00BA071C" w:rsidP="002D5445">
            <w:pPr>
              <w:jc w:val="center"/>
              <w:rPr>
                <w:rFonts w:ascii="Arial Narrow" w:hAnsi="Arial Narrow"/>
              </w:rPr>
            </w:pPr>
            <w:r>
              <w:rPr>
                <w:rFonts w:ascii="Arial Narrow" w:hAnsi="Arial Narrow"/>
              </w:rPr>
              <w:t>D</w:t>
            </w:r>
          </w:p>
        </w:tc>
        <w:tc>
          <w:tcPr>
            <w:tcW w:w="1080" w:type="dxa"/>
          </w:tcPr>
          <w:p w14:paraId="2585AC4D" w14:textId="77777777" w:rsidR="00BA071C" w:rsidRDefault="00BA071C" w:rsidP="002D5445">
            <w:pPr>
              <w:jc w:val="center"/>
              <w:rPr>
                <w:rFonts w:ascii="Arial Narrow" w:hAnsi="Arial Narrow"/>
                <w:color w:val="000000"/>
              </w:rPr>
            </w:pPr>
            <w:r>
              <w:rPr>
                <w:rFonts w:ascii="Arial Narrow" w:hAnsi="Arial Narrow"/>
                <w:color w:val="000000"/>
              </w:rPr>
              <w:t>EG/ER/</w:t>
            </w:r>
          </w:p>
          <w:p w14:paraId="7C380362" w14:textId="7FEF9720" w:rsidR="00BA071C" w:rsidRPr="00473F0A" w:rsidRDefault="00BA071C" w:rsidP="002D5445">
            <w:pPr>
              <w:jc w:val="center"/>
              <w:rPr>
                <w:rFonts w:ascii="Arial Narrow" w:hAnsi="Arial Narrow"/>
                <w:color w:val="000000"/>
              </w:rPr>
            </w:pPr>
            <w:r>
              <w:rPr>
                <w:rFonts w:ascii="Arial Narrow" w:hAnsi="Arial Narrow"/>
                <w:color w:val="000000"/>
              </w:rPr>
              <w:t>ES/ET</w:t>
            </w:r>
          </w:p>
        </w:tc>
        <w:tc>
          <w:tcPr>
            <w:tcW w:w="810" w:type="dxa"/>
          </w:tcPr>
          <w:p w14:paraId="0BE6BCEB" w14:textId="5D9DFC8B" w:rsidR="00BA071C" w:rsidRPr="00473F0A" w:rsidRDefault="00BA071C" w:rsidP="002D5445">
            <w:pPr>
              <w:jc w:val="center"/>
              <w:rPr>
                <w:rFonts w:ascii="Arial Narrow" w:hAnsi="Arial Narrow"/>
              </w:rPr>
            </w:pPr>
            <w:r>
              <w:rPr>
                <w:rFonts w:ascii="Arial Narrow" w:hAnsi="Arial Narrow"/>
              </w:rPr>
              <w:t>XXX</w:t>
            </w:r>
          </w:p>
        </w:tc>
        <w:tc>
          <w:tcPr>
            <w:tcW w:w="810" w:type="dxa"/>
          </w:tcPr>
          <w:p w14:paraId="2DEA3B32" w14:textId="10EE37B7" w:rsidR="00BA071C" w:rsidRPr="00473F0A" w:rsidRDefault="00BA071C" w:rsidP="002D5445">
            <w:pPr>
              <w:jc w:val="center"/>
              <w:rPr>
                <w:rFonts w:ascii="Arial Narrow" w:hAnsi="Arial Narrow"/>
              </w:rPr>
            </w:pPr>
            <w:r>
              <w:rPr>
                <w:rFonts w:ascii="Arial Narrow" w:hAnsi="Arial Narrow"/>
              </w:rPr>
              <w:t>N</w:t>
            </w:r>
          </w:p>
        </w:tc>
        <w:tc>
          <w:tcPr>
            <w:tcW w:w="810" w:type="dxa"/>
          </w:tcPr>
          <w:p w14:paraId="0DEDAD02" w14:textId="1DDC2B71" w:rsidR="00BA071C" w:rsidRPr="00473F0A" w:rsidRDefault="00BA071C" w:rsidP="002D5445">
            <w:pPr>
              <w:jc w:val="center"/>
              <w:rPr>
                <w:rFonts w:ascii="Arial Narrow" w:hAnsi="Arial Narrow"/>
              </w:rPr>
            </w:pPr>
            <w:r>
              <w:rPr>
                <w:rFonts w:ascii="Arial Narrow" w:hAnsi="Arial Narrow"/>
              </w:rPr>
              <w:t>U</w:t>
            </w:r>
          </w:p>
        </w:tc>
        <w:tc>
          <w:tcPr>
            <w:tcW w:w="720" w:type="dxa"/>
          </w:tcPr>
          <w:p w14:paraId="7212CFE9" w14:textId="39B69994" w:rsidR="00BA071C" w:rsidRPr="00473F0A" w:rsidRDefault="00BA071C" w:rsidP="002D5445">
            <w:pPr>
              <w:jc w:val="center"/>
              <w:rPr>
                <w:rFonts w:ascii="Arial Narrow" w:hAnsi="Arial Narrow"/>
              </w:rPr>
            </w:pPr>
            <w:r>
              <w:rPr>
                <w:rFonts w:ascii="Arial Narrow" w:hAnsi="Arial Narrow"/>
              </w:rPr>
              <w:t>X/K/N</w:t>
            </w:r>
          </w:p>
        </w:tc>
      </w:tr>
    </w:tbl>
    <w:p w14:paraId="3E542426" w14:textId="77777777" w:rsidR="00473F0A" w:rsidRDefault="00473F0A" w:rsidP="00473F0A">
      <w:pPr>
        <w:rPr>
          <w:rFonts w:ascii="Times New Roman" w:hAnsi="Times New Roman"/>
          <w:b/>
          <w:bCs/>
          <w:sz w:val="24"/>
          <w:szCs w:val="24"/>
        </w:rPr>
      </w:pPr>
    </w:p>
    <w:p w14:paraId="65CF37EB" w14:textId="77777777" w:rsidR="00473F0A" w:rsidRDefault="00473F0A">
      <w:pPr>
        <w:rPr>
          <w:rFonts w:ascii="Times New Roman" w:hAnsi="Times New Roman" w:cs="Times New Roman"/>
          <w:sz w:val="24"/>
          <w:szCs w:val="24"/>
        </w:rPr>
      </w:pPr>
    </w:p>
    <w:p w14:paraId="42D7860E" w14:textId="77777777" w:rsidR="00BA071C" w:rsidRDefault="00BA071C">
      <w:pPr>
        <w:rPr>
          <w:rFonts w:ascii="Times New Roman" w:hAnsi="Times New Roman" w:cs="Times New Roman"/>
          <w:sz w:val="24"/>
          <w:szCs w:val="24"/>
        </w:rPr>
      </w:pPr>
    </w:p>
    <w:p w14:paraId="5FD885DF" w14:textId="77777777" w:rsidR="00473F0A" w:rsidRDefault="00473F0A">
      <w:pPr>
        <w:rPr>
          <w:rFonts w:ascii="Times New Roman" w:hAnsi="Times New Roman" w:cs="Times New Roman"/>
          <w:sz w:val="24"/>
          <w:szCs w:val="24"/>
        </w:rPr>
      </w:pPr>
    </w:p>
    <w:p w14:paraId="3DDC2511" w14:textId="77777777" w:rsidR="005D39D9" w:rsidRDefault="005D39D9">
      <w:pPr>
        <w:rPr>
          <w:rFonts w:ascii="Times New Roman" w:hAnsi="Times New Roman" w:cs="Times New Roman"/>
          <w:sz w:val="24"/>
          <w:szCs w:val="24"/>
        </w:rPr>
      </w:pPr>
    </w:p>
    <w:p w14:paraId="6BAEB4BD" w14:textId="77777777" w:rsidR="005D39D9" w:rsidRPr="00124226" w:rsidRDefault="005D39D9">
      <w:pPr>
        <w:rPr>
          <w:rFonts w:ascii="Times New Roman" w:hAnsi="Times New Roman" w:cs="Times New Roman"/>
          <w:sz w:val="24"/>
          <w:szCs w:val="24"/>
        </w:rPr>
      </w:pPr>
    </w:p>
    <w:sectPr w:rsidR="005D39D9" w:rsidRPr="00124226" w:rsidSect="00682338">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97B7" w14:textId="77777777" w:rsidR="00A12567" w:rsidRDefault="00A12567" w:rsidP="00A12567">
      <w:pPr>
        <w:spacing w:after="0" w:line="240" w:lineRule="auto"/>
      </w:pPr>
      <w:r>
        <w:separator/>
      </w:r>
    </w:p>
  </w:endnote>
  <w:endnote w:type="continuationSeparator" w:id="0">
    <w:p w14:paraId="408AEC57" w14:textId="77777777" w:rsidR="00A12567" w:rsidRDefault="00A12567" w:rsidP="00A1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05C5" w14:textId="77777777" w:rsidR="006264D0" w:rsidRDefault="00626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AE99" w14:textId="48924AE2" w:rsidR="00A12567" w:rsidRPr="00A12567" w:rsidRDefault="00A12567" w:rsidP="00A12567">
    <w:pPr>
      <w:pStyle w:val="Footer"/>
      <w:jc w:val="center"/>
      <w:rPr>
        <w:rFonts w:ascii="Times New Roman" w:hAnsi="Times New Roman" w:cs="Times New Roman"/>
        <w:b/>
        <w:bCs/>
        <w:sz w:val="24"/>
        <w:szCs w:val="24"/>
      </w:rPr>
    </w:pPr>
    <w:r>
      <w:t xml:space="preserve">                                                                                 </w:t>
    </w:r>
    <w:r w:rsidR="00CD6DCE">
      <w:t xml:space="preserve">                       </w:t>
    </w:r>
    <w:r w:rsidRPr="00A12567">
      <w:rPr>
        <w:rFonts w:ascii="Times New Roman" w:hAnsi="Times New Roman" w:cs="Times New Roman"/>
        <w:b/>
        <w:bCs/>
        <w:sz w:val="24"/>
        <w:szCs w:val="24"/>
      </w:rPr>
      <w:t xml:space="preserve">Page </w:t>
    </w:r>
    <w:r w:rsidRPr="00A12567">
      <w:rPr>
        <w:rFonts w:ascii="Times New Roman" w:hAnsi="Times New Roman" w:cs="Times New Roman"/>
        <w:b/>
        <w:bCs/>
        <w:sz w:val="24"/>
        <w:szCs w:val="24"/>
      </w:rPr>
      <w:fldChar w:fldCharType="begin"/>
    </w:r>
    <w:r w:rsidRPr="00A12567">
      <w:rPr>
        <w:rFonts w:ascii="Times New Roman" w:hAnsi="Times New Roman" w:cs="Times New Roman"/>
        <w:b/>
        <w:bCs/>
        <w:sz w:val="24"/>
        <w:szCs w:val="24"/>
      </w:rPr>
      <w:instrText xml:space="preserve"> PAGE  \* Arabic  \* MERGEFORMAT </w:instrText>
    </w:r>
    <w:r w:rsidRPr="00A12567">
      <w:rPr>
        <w:rFonts w:ascii="Times New Roman" w:hAnsi="Times New Roman" w:cs="Times New Roman"/>
        <w:b/>
        <w:bCs/>
        <w:sz w:val="24"/>
        <w:szCs w:val="24"/>
      </w:rPr>
      <w:fldChar w:fldCharType="separate"/>
    </w:r>
    <w:r w:rsidRPr="00A12567">
      <w:rPr>
        <w:rFonts w:ascii="Times New Roman" w:hAnsi="Times New Roman" w:cs="Times New Roman"/>
        <w:b/>
        <w:bCs/>
        <w:noProof/>
        <w:sz w:val="24"/>
        <w:szCs w:val="24"/>
      </w:rPr>
      <w:t>2</w:t>
    </w:r>
    <w:r w:rsidRPr="00A12567">
      <w:rPr>
        <w:rFonts w:ascii="Times New Roman" w:hAnsi="Times New Roman" w:cs="Times New Roman"/>
        <w:b/>
        <w:bCs/>
        <w:sz w:val="24"/>
        <w:szCs w:val="24"/>
      </w:rPr>
      <w:fldChar w:fldCharType="end"/>
    </w:r>
    <w:r w:rsidRPr="00A12567">
      <w:rPr>
        <w:rFonts w:ascii="Times New Roman" w:hAnsi="Times New Roman" w:cs="Times New Roman"/>
        <w:b/>
        <w:bCs/>
        <w:sz w:val="24"/>
        <w:szCs w:val="24"/>
      </w:rPr>
      <w:t xml:space="preserve"> of </w:t>
    </w:r>
    <w:r w:rsidRPr="00A12567">
      <w:rPr>
        <w:rFonts w:ascii="Times New Roman" w:hAnsi="Times New Roman" w:cs="Times New Roman"/>
        <w:b/>
        <w:bCs/>
        <w:sz w:val="24"/>
        <w:szCs w:val="24"/>
      </w:rPr>
      <w:fldChar w:fldCharType="begin"/>
    </w:r>
    <w:r w:rsidRPr="00A12567">
      <w:rPr>
        <w:rFonts w:ascii="Times New Roman" w:hAnsi="Times New Roman" w:cs="Times New Roman"/>
        <w:b/>
        <w:bCs/>
        <w:sz w:val="24"/>
        <w:szCs w:val="24"/>
      </w:rPr>
      <w:instrText xml:space="preserve"> NUMPAGES  \* Arabic  \* MERGEFORMAT </w:instrText>
    </w:r>
    <w:r w:rsidRPr="00A12567">
      <w:rPr>
        <w:rFonts w:ascii="Times New Roman" w:hAnsi="Times New Roman" w:cs="Times New Roman"/>
        <w:b/>
        <w:bCs/>
        <w:sz w:val="24"/>
        <w:szCs w:val="24"/>
      </w:rPr>
      <w:fldChar w:fldCharType="separate"/>
    </w:r>
    <w:r w:rsidRPr="00A12567">
      <w:rPr>
        <w:rFonts w:ascii="Times New Roman" w:hAnsi="Times New Roman" w:cs="Times New Roman"/>
        <w:b/>
        <w:bCs/>
        <w:noProof/>
        <w:sz w:val="24"/>
        <w:szCs w:val="24"/>
      </w:rPr>
      <w:t>2</w:t>
    </w:r>
    <w:r w:rsidRPr="00A12567">
      <w:rPr>
        <w:rFonts w:ascii="Times New Roman" w:hAnsi="Times New Roman" w:cs="Times New Roman"/>
        <w:b/>
        <w:bCs/>
        <w:sz w:val="24"/>
        <w:szCs w:val="24"/>
      </w:rPr>
      <w:fldChar w:fldCharType="end"/>
    </w:r>
    <w:r w:rsidRPr="00A12567">
      <w:rPr>
        <w:rFonts w:ascii="Times New Roman" w:hAnsi="Times New Roman" w:cs="Times New Roman"/>
        <w:b/>
        <w:bCs/>
        <w:sz w:val="24"/>
        <w:szCs w:val="24"/>
      </w:rPr>
      <w:t xml:space="preserve">                  </w:t>
    </w:r>
    <w:r w:rsidR="00CD6DCE">
      <w:rPr>
        <w:rFonts w:ascii="Times New Roman" w:hAnsi="Times New Roman" w:cs="Times New Roman"/>
        <w:b/>
        <w:bCs/>
        <w:sz w:val="24"/>
        <w:szCs w:val="24"/>
      </w:rPr>
      <w:t xml:space="preserve">                            </w:t>
    </w:r>
    <w:r w:rsidRPr="00A12567">
      <w:rPr>
        <w:rFonts w:ascii="Times New Roman" w:hAnsi="Times New Roman" w:cs="Times New Roman"/>
        <w:b/>
        <w:bCs/>
        <w:sz w:val="24"/>
        <w:szCs w:val="24"/>
      </w:rPr>
      <w:t xml:space="preserve">   IRC Handout April 1</w:t>
    </w:r>
    <w:r w:rsidR="0028495C">
      <w:rPr>
        <w:rFonts w:ascii="Times New Roman" w:hAnsi="Times New Roman" w:cs="Times New Roman"/>
        <w:b/>
        <w:bCs/>
        <w:sz w:val="24"/>
        <w:szCs w:val="24"/>
      </w:rPr>
      <w:t>8</w:t>
    </w:r>
    <w:r w:rsidRPr="00A12567">
      <w:rPr>
        <w:rFonts w:ascii="Times New Roman" w:hAnsi="Times New Roman" w:cs="Times New Roman"/>
        <w:b/>
        <w:bCs/>
        <w:sz w:val="24"/>
        <w:szCs w:val="24"/>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2D74" w14:textId="77777777" w:rsidR="006264D0" w:rsidRDefault="0062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B3CC" w14:textId="77777777" w:rsidR="00A12567" w:rsidRDefault="00A12567" w:rsidP="00A12567">
      <w:pPr>
        <w:spacing w:after="0" w:line="240" w:lineRule="auto"/>
      </w:pPr>
      <w:r>
        <w:separator/>
      </w:r>
    </w:p>
  </w:footnote>
  <w:footnote w:type="continuationSeparator" w:id="0">
    <w:p w14:paraId="0AC14C9E" w14:textId="77777777" w:rsidR="00A12567" w:rsidRDefault="00A12567" w:rsidP="00A12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2877" w14:textId="77777777" w:rsidR="006264D0" w:rsidRDefault="00626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562539"/>
      <w:docPartObj>
        <w:docPartGallery w:val="Watermarks"/>
        <w:docPartUnique/>
      </w:docPartObj>
    </w:sdtPr>
    <w:sdtEndPr/>
    <w:sdtContent>
      <w:p w14:paraId="21C6E3AF" w14:textId="0B29963D" w:rsidR="006264D0" w:rsidRDefault="00956CDC">
        <w:pPr>
          <w:pStyle w:val="Header"/>
        </w:pPr>
        <w:r>
          <w:rPr>
            <w:noProof/>
          </w:rPr>
          <w:pict w14:anchorId="689FE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7521" w14:textId="77777777" w:rsidR="006264D0" w:rsidRDefault="00626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8B"/>
    <w:rsid w:val="00124226"/>
    <w:rsid w:val="00165164"/>
    <w:rsid w:val="002536BD"/>
    <w:rsid w:val="0028495C"/>
    <w:rsid w:val="002B5EF5"/>
    <w:rsid w:val="00396A8A"/>
    <w:rsid w:val="00405DC5"/>
    <w:rsid w:val="00431383"/>
    <w:rsid w:val="0044427A"/>
    <w:rsid w:val="00473F0A"/>
    <w:rsid w:val="004A02C2"/>
    <w:rsid w:val="005D39D9"/>
    <w:rsid w:val="006264D0"/>
    <w:rsid w:val="00653AF2"/>
    <w:rsid w:val="00665F8B"/>
    <w:rsid w:val="00682338"/>
    <w:rsid w:val="00723F8F"/>
    <w:rsid w:val="008E18DC"/>
    <w:rsid w:val="00956CDC"/>
    <w:rsid w:val="009A2884"/>
    <w:rsid w:val="00A12567"/>
    <w:rsid w:val="00A1334A"/>
    <w:rsid w:val="00AB46E7"/>
    <w:rsid w:val="00B26F16"/>
    <w:rsid w:val="00BA071C"/>
    <w:rsid w:val="00BD71B6"/>
    <w:rsid w:val="00BF6B7C"/>
    <w:rsid w:val="00CA470F"/>
    <w:rsid w:val="00CB451D"/>
    <w:rsid w:val="00CD6DCE"/>
    <w:rsid w:val="00EE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53F7AF"/>
  <w15:chartTrackingRefBased/>
  <w15:docId w15:val="{05D534A2-3A3F-4B72-AEE8-16C5F3D7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8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5F8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odyText">
    <w:name w:val="Body Text"/>
    <w:basedOn w:val="Normal"/>
    <w:link w:val="BodyTextChar"/>
    <w:uiPriority w:val="99"/>
    <w:semiHidden/>
    <w:unhideWhenUsed/>
    <w:rsid w:val="00124226"/>
    <w:pPr>
      <w:spacing w:after="120"/>
    </w:pPr>
  </w:style>
  <w:style w:type="character" w:customStyle="1" w:styleId="BodyTextChar">
    <w:name w:val="Body Text Char"/>
    <w:basedOn w:val="DefaultParagraphFont"/>
    <w:link w:val="BodyText"/>
    <w:uiPriority w:val="99"/>
    <w:semiHidden/>
    <w:rsid w:val="00124226"/>
    <w:rPr>
      <w:kern w:val="0"/>
      <w14:ligatures w14:val="none"/>
    </w:rPr>
  </w:style>
  <w:style w:type="character" w:styleId="CommentReference">
    <w:name w:val="annotation reference"/>
    <w:basedOn w:val="DefaultParagraphFont"/>
    <w:uiPriority w:val="99"/>
    <w:semiHidden/>
    <w:unhideWhenUsed/>
    <w:rsid w:val="00653AF2"/>
    <w:rPr>
      <w:sz w:val="16"/>
      <w:szCs w:val="16"/>
    </w:rPr>
  </w:style>
  <w:style w:type="paragraph" w:styleId="CommentText">
    <w:name w:val="annotation text"/>
    <w:basedOn w:val="Normal"/>
    <w:link w:val="CommentTextChar"/>
    <w:uiPriority w:val="99"/>
    <w:unhideWhenUsed/>
    <w:rsid w:val="00653AF2"/>
    <w:pPr>
      <w:spacing w:line="240" w:lineRule="auto"/>
    </w:pPr>
    <w:rPr>
      <w:sz w:val="20"/>
      <w:szCs w:val="20"/>
    </w:rPr>
  </w:style>
  <w:style w:type="character" w:customStyle="1" w:styleId="CommentTextChar">
    <w:name w:val="Comment Text Char"/>
    <w:basedOn w:val="DefaultParagraphFont"/>
    <w:link w:val="CommentText"/>
    <w:uiPriority w:val="99"/>
    <w:rsid w:val="00653AF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3AF2"/>
    <w:rPr>
      <w:b/>
      <w:bCs/>
    </w:rPr>
  </w:style>
  <w:style w:type="character" w:customStyle="1" w:styleId="CommentSubjectChar">
    <w:name w:val="Comment Subject Char"/>
    <w:basedOn w:val="CommentTextChar"/>
    <w:link w:val="CommentSubject"/>
    <w:uiPriority w:val="99"/>
    <w:semiHidden/>
    <w:rsid w:val="00653AF2"/>
    <w:rPr>
      <w:b/>
      <w:bCs/>
      <w:kern w:val="0"/>
      <w:sz w:val="20"/>
      <w:szCs w:val="20"/>
      <w14:ligatures w14:val="none"/>
    </w:rPr>
  </w:style>
  <w:style w:type="paragraph" w:styleId="Header">
    <w:name w:val="header"/>
    <w:basedOn w:val="Normal"/>
    <w:link w:val="HeaderChar"/>
    <w:uiPriority w:val="99"/>
    <w:unhideWhenUsed/>
    <w:rsid w:val="00A12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567"/>
    <w:rPr>
      <w:kern w:val="0"/>
      <w14:ligatures w14:val="none"/>
    </w:rPr>
  </w:style>
  <w:style w:type="paragraph" w:styleId="Footer">
    <w:name w:val="footer"/>
    <w:basedOn w:val="Normal"/>
    <w:link w:val="FooterChar"/>
    <w:uiPriority w:val="99"/>
    <w:unhideWhenUsed/>
    <w:rsid w:val="00A12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567"/>
    <w:rPr>
      <w:kern w:val="0"/>
      <w14:ligatures w14:val="none"/>
    </w:rPr>
  </w:style>
  <w:style w:type="table" w:styleId="TableGrid">
    <w:name w:val="Table Grid"/>
    <w:basedOn w:val="TableNormal"/>
    <w:uiPriority w:val="39"/>
    <w:rsid w:val="00473F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6585">
      <w:bodyDiv w:val="1"/>
      <w:marLeft w:val="0"/>
      <w:marRight w:val="0"/>
      <w:marTop w:val="0"/>
      <w:marBottom w:val="0"/>
      <w:divBdr>
        <w:top w:val="none" w:sz="0" w:space="0" w:color="auto"/>
        <w:left w:val="none" w:sz="0" w:space="0" w:color="auto"/>
        <w:bottom w:val="none" w:sz="0" w:space="0" w:color="auto"/>
        <w:right w:val="none" w:sz="0" w:space="0" w:color="auto"/>
      </w:divBdr>
    </w:div>
    <w:div w:id="662125098">
      <w:bodyDiv w:val="1"/>
      <w:marLeft w:val="0"/>
      <w:marRight w:val="0"/>
      <w:marTop w:val="0"/>
      <w:marBottom w:val="0"/>
      <w:divBdr>
        <w:top w:val="none" w:sz="0" w:space="0" w:color="auto"/>
        <w:left w:val="none" w:sz="0" w:space="0" w:color="auto"/>
        <w:bottom w:val="none" w:sz="0" w:space="0" w:color="auto"/>
        <w:right w:val="none" w:sz="0" w:space="0" w:color="auto"/>
      </w:divBdr>
    </w:div>
    <w:div w:id="758910749">
      <w:bodyDiv w:val="1"/>
      <w:marLeft w:val="0"/>
      <w:marRight w:val="0"/>
      <w:marTop w:val="0"/>
      <w:marBottom w:val="0"/>
      <w:divBdr>
        <w:top w:val="none" w:sz="0" w:space="0" w:color="auto"/>
        <w:left w:val="none" w:sz="0" w:space="0" w:color="auto"/>
        <w:bottom w:val="none" w:sz="0" w:space="0" w:color="auto"/>
        <w:right w:val="none" w:sz="0" w:space="0" w:color="auto"/>
      </w:divBdr>
    </w:div>
    <w:div w:id="1336494592">
      <w:bodyDiv w:val="1"/>
      <w:marLeft w:val="0"/>
      <w:marRight w:val="0"/>
      <w:marTop w:val="0"/>
      <w:marBottom w:val="0"/>
      <w:divBdr>
        <w:top w:val="none" w:sz="0" w:space="0" w:color="auto"/>
        <w:left w:val="none" w:sz="0" w:space="0" w:color="auto"/>
        <w:bottom w:val="none" w:sz="0" w:space="0" w:color="auto"/>
        <w:right w:val="none" w:sz="0" w:space="0" w:color="auto"/>
      </w:divBdr>
    </w:div>
    <w:div w:id="1393431198">
      <w:bodyDiv w:val="1"/>
      <w:marLeft w:val="0"/>
      <w:marRight w:val="0"/>
      <w:marTop w:val="0"/>
      <w:marBottom w:val="0"/>
      <w:divBdr>
        <w:top w:val="none" w:sz="0" w:space="0" w:color="auto"/>
        <w:left w:val="none" w:sz="0" w:space="0" w:color="auto"/>
        <w:bottom w:val="none" w:sz="0" w:space="0" w:color="auto"/>
        <w:right w:val="none" w:sz="0" w:space="0" w:color="auto"/>
      </w:divBdr>
    </w:div>
    <w:div w:id="1486435910">
      <w:bodyDiv w:val="1"/>
      <w:marLeft w:val="0"/>
      <w:marRight w:val="0"/>
      <w:marTop w:val="0"/>
      <w:marBottom w:val="0"/>
      <w:divBdr>
        <w:top w:val="none" w:sz="0" w:space="0" w:color="auto"/>
        <w:left w:val="none" w:sz="0" w:space="0" w:color="auto"/>
        <w:bottom w:val="none" w:sz="0" w:space="0" w:color="auto"/>
        <w:right w:val="none" w:sz="0" w:space="0" w:color="auto"/>
      </w:divBdr>
    </w:div>
    <w:div w:id="1514413678">
      <w:bodyDiv w:val="1"/>
      <w:marLeft w:val="0"/>
      <w:marRight w:val="0"/>
      <w:marTop w:val="0"/>
      <w:marBottom w:val="0"/>
      <w:divBdr>
        <w:top w:val="none" w:sz="0" w:space="0" w:color="auto"/>
        <w:left w:val="none" w:sz="0" w:space="0" w:color="auto"/>
        <w:bottom w:val="none" w:sz="0" w:space="0" w:color="auto"/>
        <w:right w:val="none" w:sz="0" w:space="0" w:color="auto"/>
      </w:divBdr>
    </w:div>
    <w:div w:id="15832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1965</Words>
  <Characters>11541</Characters>
  <Application>Microsoft Office Word</Application>
  <DocSecurity>0</DocSecurity>
  <Lines>412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Heather D. Six</cp:lastModifiedBy>
  <cp:revision>2</cp:revision>
  <dcterms:created xsi:type="dcterms:W3CDTF">2024-04-11T18:37:00Z</dcterms:created>
  <dcterms:modified xsi:type="dcterms:W3CDTF">2024-04-11T18:37:00Z</dcterms:modified>
</cp:coreProperties>
</file>