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613B" w14:textId="1995F5B0" w:rsidR="00F52182" w:rsidRPr="00C70A55" w:rsidRDefault="00F52182" w:rsidP="00C70A55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C70A55">
        <w:rPr>
          <w:rFonts w:cstheme="minorHAnsi"/>
          <w:b/>
          <w:bCs/>
          <w:sz w:val="28"/>
          <w:szCs w:val="28"/>
          <w:u w:val="single"/>
        </w:rPr>
        <w:t xml:space="preserve">Proprietary </w:t>
      </w:r>
      <w:r w:rsidR="00554987">
        <w:rPr>
          <w:rFonts w:cstheme="minorHAnsi"/>
          <w:b/>
          <w:bCs/>
          <w:sz w:val="28"/>
          <w:szCs w:val="28"/>
          <w:u w:val="single"/>
        </w:rPr>
        <w:t>USSGL</w:t>
      </w:r>
      <w:r w:rsidRPr="00C70A55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554987">
        <w:rPr>
          <w:rFonts w:cstheme="minorHAnsi"/>
          <w:b/>
          <w:bCs/>
          <w:sz w:val="28"/>
          <w:szCs w:val="28"/>
          <w:u w:val="single"/>
        </w:rPr>
        <w:t>Account Definition Modifications</w:t>
      </w:r>
      <w:r w:rsidRPr="00C70A55">
        <w:rPr>
          <w:rFonts w:cstheme="minorHAnsi"/>
          <w:b/>
          <w:bCs/>
          <w:sz w:val="28"/>
          <w:szCs w:val="28"/>
          <w:u w:val="single"/>
        </w:rPr>
        <w:t xml:space="preserve"> (</w:t>
      </w:r>
      <w:r w:rsidR="00B84E01">
        <w:rPr>
          <w:rFonts w:cstheme="minorHAnsi"/>
          <w:b/>
          <w:bCs/>
          <w:sz w:val="28"/>
          <w:szCs w:val="28"/>
          <w:u w:val="single"/>
        </w:rPr>
        <w:t xml:space="preserve">Effective </w:t>
      </w:r>
      <w:r w:rsidRPr="00C70A55">
        <w:rPr>
          <w:rFonts w:cstheme="minorHAnsi"/>
          <w:b/>
          <w:bCs/>
          <w:sz w:val="28"/>
          <w:szCs w:val="28"/>
          <w:u w:val="single"/>
        </w:rPr>
        <w:t>FY 202</w:t>
      </w:r>
      <w:r w:rsidR="005B4AE9">
        <w:rPr>
          <w:rFonts w:cstheme="minorHAnsi"/>
          <w:b/>
          <w:bCs/>
          <w:sz w:val="28"/>
          <w:szCs w:val="28"/>
          <w:u w:val="single"/>
        </w:rPr>
        <w:t>5</w:t>
      </w:r>
      <w:r w:rsidRPr="00C70A55">
        <w:rPr>
          <w:rFonts w:cstheme="minorHAnsi"/>
          <w:b/>
          <w:bCs/>
          <w:sz w:val="28"/>
          <w:szCs w:val="28"/>
          <w:u w:val="single"/>
        </w:rPr>
        <w:t>)</w:t>
      </w:r>
    </w:p>
    <w:p w14:paraId="6AC6A88B" w14:textId="18B442B7" w:rsidR="0082203E" w:rsidRPr="00CE7ABD" w:rsidRDefault="0072601F" w:rsidP="0082203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E7ABD">
        <w:rPr>
          <w:rFonts w:asciiTheme="minorHAnsi" w:hAnsiTheme="minorHAnsi" w:cstheme="minorHAnsi"/>
          <w:b/>
          <w:sz w:val="24"/>
          <w:szCs w:val="24"/>
        </w:rPr>
        <w:t>1</w:t>
      </w:r>
      <w:r w:rsidR="00595EA9" w:rsidRPr="00CE7ABD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595EA9" w:rsidRPr="00CE7ABD">
        <w:rPr>
          <w:rFonts w:asciiTheme="minorHAnsi" w:hAnsiTheme="minorHAnsi" w:cstheme="minorHAnsi"/>
          <w:b/>
          <w:sz w:val="24"/>
          <w:szCs w:val="24"/>
        </w:rPr>
        <w:tab/>
      </w:r>
      <w:r w:rsidR="00E47A7D" w:rsidRPr="00CE7ABD">
        <w:rPr>
          <w:rFonts w:asciiTheme="minorHAnsi" w:hAnsiTheme="minorHAnsi" w:cstheme="minorHAnsi"/>
          <w:b/>
          <w:sz w:val="24"/>
          <w:szCs w:val="24"/>
        </w:rPr>
        <w:t>Payment</w:t>
      </w:r>
      <w:r w:rsidR="00EE5505" w:rsidRPr="00CE7A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3228B" w:rsidRPr="00CE7ABD">
        <w:rPr>
          <w:rFonts w:asciiTheme="minorHAnsi" w:hAnsiTheme="minorHAnsi" w:cstheme="minorHAnsi"/>
          <w:b/>
          <w:sz w:val="24"/>
          <w:szCs w:val="24"/>
        </w:rPr>
        <w:t>Certificates</w:t>
      </w:r>
    </w:p>
    <w:p w14:paraId="490247A2" w14:textId="77777777" w:rsidR="00595EA9" w:rsidRDefault="00595EA9" w:rsidP="0082203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3CBA88" w14:textId="74EE13BA" w:rsidR="0082203E" w:rsidRDefault="0082203E" w:rsidP="0082203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987">
        <w:rPr>
          <w:rFonts w:asciiTheme="minorHAnsi" w:hAnsiTheme="minorHAnsi" w:cstheme="minorHAnsi"/>
          <w:b/>
          <w:sz w:val="22"/>
          <w:szCs w:val="22"/>
        </w:rPr>
        <w:t xml:space="preserve">Account Title: </w:t>
      </w:r>
      <w:r w:rsidR="00EE5505" w:rsidRPr="00EE5505">
        <w:rPr>
          <w:rFonts w:asciiTheme="minorHAnsi" w:hAnsiTheme="minorHAnsi" w:cstheme="minorHAnsi"/>
          <w:bCs/>
          <w:sz w:val="22"/>
          <w:szCs w:val="22"/>
        </w:rPr>
        <w:t xml:space="preserve">Participation </w:t>
      </w:r>
      <w:r w:rsidR="00867254" w:rsidRPr="00867254">
        <w:rPr>
          <w:rFonts w:asciiTheme="minorHAnsi" w:hAnsiTheme="minorHAnsi" w:cstheme="minorHAnsi"/>
          <w:bCs/>
          <w:color w:val="2E74B5" w:themeColor="accent5" w:themeShade="BF"/>
          <w:sz w:val="22"/>
          <w:szCs w:val="22"/>
        </w:rPr>
        <w:t xml:space="preserve">and Payment </w:t>
      </w:r>
      <w:r w:rsidR="00B66C2F" w:rsidRPr="00B66C2F">
        <w:rPr>
          <w:rFonts w:asciiTheme="minorHAnsi" w:hAnsiTheme="minorHAnsi" w:cstheme="minorHAnsi"/>
          <w:bCs/>
          <w:sz w:val="22"/>
          <w:szCs w:val="22"/>
        </w:rPr>
        <w:t>Certificates</w:t>
      </w:r>
    </w:p>
    <w:p w14:paraId="4ECCCBBF" w14:textId="18756442" w:rsidR="0082203E" w:rsidRDefault="0082203E" w:rsidP="0082203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54987">
        <w:rPr>
          <w:rFonts w:asciiTheme="minorHAnsi" w:hAnsiTheme="minorHAnsi" w:cstheme="minorHAnsi"/>
          <w:b/>
          <w:sz w:val="22"/>
          <w:szCs w:val="22"/>
        </w:rPr>
        <w:t xml:space="preserve">Account Number: </w:t>
      </w:r>
      <w:r w:rsidR="00EE5505">
        <w:rPr>
          <w:rFonts w:asciiTheme="minorHAnsi" w:hAnsiTheme="minorHAnsi" w:cstheme="minorHAnsi"/>
          <w:bCs/>
          <w:sz w:val="22"/>
          <w:szCs w:val="22"/>
        </w:rPr>
        <w:t>254000</w:t>
      </w:r>
      <w:r w:rsidRPr="0055498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1B13E26" w14:textId="74AB7F69" w:rsidR="0082203E" w:rsidRDefault="0082203E" w:rsidP="0082203E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54987">
        <w:rPr>
          <w:rFonts w:asciiTheme="minorHAnsi" w:hAnsiTheme="minorHAnsi" w:cstheme="minorHAnsi"/>
          <w:b/>
          <w:sz w:val="22"/>
          <w:szCs w:val="22"/>
        </w:rPr>
        <w:t xml:space="preserve">Normal Balance: </w:t>
      </w:r>
      <w:r w:rsidR="00EE5505">
        <w:rPr>
          <w:rFonts w:asciiTheme="minorHAnsi" w:hAnsiTheme="minorHAnsi" w:cstheme="minorHAnsi"/>
          <w:bCs/>
          <w:sz w:val="22"/>
          <w:szCs w:val="22"/>
        </w:rPr>
        <w:t>Credit</w:t>
      </w:r>
    </w:p>
    <w:p w14:paraId="3D7D31C7" w14:textId="2E761E30" w:rsidR="0082203E" w:rsidRDefault="0082203E" w:rsidP="00B962B7">
      <w:pPr>
        <w:pStyle w:val="Default"/>
        <w:rPr>
          <w:rFonts w:asciiTheme="minorHAnsi" w:hAnsiTheme="minorHAnsi" w:cstheme="minorHAnsi"/>
          <w:bCs/>
          <w:color w:val="2E74B5" w:themeColor="accent5" w:themeShade="BF"/>
          <w:sz w:val="22"/>
          <w:szCs w:val="22"/>
        </w:rPr>
      </w:pPr>
      <w:r w:rsidRPr="00554987">
        <w:rPr>
          <w:rFonts w:asciiTheme="minorHAnsi" w:hAnsiTheme="minorHAnsi" w:cstheme="minorHAnsi"/>
          <w:b/>
          <w:sz w:val="22"/>
          <w:szCs w:val="22"/>
        </w:rPr>
        <w:t xml:space="preserve">Definition: </w:t>
      </w:r>
      <w:r w:rsidR="00807E0C" w:rsidRPr="00807E0C">
        <w:rPr>
          <w:rFonts w:asciiTheme="minorHAnsi" w:hAnsiTheme="minorHAnsi" w:cstheme="minorHAnsi"/>
          <w:bCs/>
          <w:sz w:val="22"/>
          <w:szCs w:val="22"/>
        </w:rPr>
        <w:t>This account is used to record the amount of liability for a federal entity's share of participation certificates</w:t>
      </w:r>
      <w:r w:rsidR="00EB0A68" w:rsidRPr="00F61BE8">
        <w:rPr>
          <w:rFonts w:asciiTheme="minorHAnsi" w:hAnsiTheme="minorHAnsi" w:cstheme="minorHAnsi"/>
          <w:bCs/>
          <w:color w:val="2E74B5" w:themeColor="accent5" w:themeShade="BF"/>
          <w:sz w:val="22"/>
          <w:szCs w:val="22"/>
        </w:rPr>
        <w:t xml:space="preserve">, and/or payment certificates </w:t>
      </w:r>
      <w:r w:rsidR="0090302D">
        <w:rPr>
          <w:rFonts w:asciiTheme="minorHAnsi" w:hAnsiTheme="minorHAnsi" w:cstheme="minorHAnsi"/>
          <w:bCs/>
          <w:color w:val="2E74B5" w:themeColor="accent5" w:themeShade="BF"/>
          <w:sz w:val="22"/>
          <w:szCs w:val="22"/>
        </w:rPr>
        <w:t xml:space="preserve">issued by a federal entity </w:t>
      </w:r>
      <w:r w:rsidR="00EB0A68" w:rsidRPr="00F61BE8">
        <w:rPr>
          <w:rFonts w:asciiTheme="minorHAnsi" w:hAnsiTheme="minorHAnsi" w:cstheme="minorHAnsi"/>
          <w:bCs/>
          <w:color w:val="2E74B5" w:themeColor="accent5" w:themeShade="BF"/>
          <w:sz w:val="22"/>
          <w:szCs w:val="22"/>
        </w:rPr>
        <w:t>for the assumption of defaulted guarantees backed by the U.S. government</w:t>
      </w:r>
      <w:r w:rsidR="00807E0C" w:rsidRPr="00F61BE8">
        <w:rPr>
          <w:rFonts w:asciiTheme="minorHAnsi" w:hAnsiTheme="minorHAnsi" w:cstheme="minorHAnsi"/>
          <w:bCs/>
          <w:color w:val="2E74B5" w:themeColor="accent5" w:themeShade="BF"/>
          <w:sz w:val="22"/>
          <w:szCs w:val="22"/>
        </w:rPr>
        <w:t xml:space="preserve">. </w:t>
      </w:r>
      <w:r w:rsidR="00807E0C" w:rsidRPr="00807E0C">
        <w:rPr>
          <w:rFonts w:asciiTheme="minorHAnsi" w:hAnsiTheme="minorHAnsi" w:cstheme="minorHAnsi"/>
          <w:bCs/>
          <w:sz w:val="22"/>
          <w:szCs w:val="22"/>
        </w:rPr>
        <w:t>This account does not close at year-end.</w:t>
      </w:r>
    </w:p>
    <w:p w14:paraId="0EF97862" w14:textId="77777777" w:rsidR="00B962B7" w:rsidRPr="00B962B7" w:rsidRDefault="00B962B7" w:rsidP="00B962B7">
      <w:pPr>
        <w:pStyle w:val="Default"/>
        <w:rPr>
          <w:rFonts w:asciiTheme="minorHAnsi" w:hAnsiTheme="minorHAnsi" w:cstheme="minorHAnsi"/>
          <w:bCs/>
          <w:color w:val="2E74B5" w:themeColor="accent5" w:themeShade="BF"/>
          <w:sz w:val="22"/>
          <w:szCs w:val="22"/>
        </w:rPr>
      </w:pPr>
    </w:p>
    <w:p w14:paraId="41646E23" w14:textId="60AD17F0" w:rsidR="0069597E" w:rsidRDefault="0082203E" w:rsidP="00EB1BBD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Justification: </w:t>
      </w:r>
      <w:r w:rsidR="00F83F5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This </w:t>
      </w:r>
      <w:r w:rsidR="0091508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proposed </w:t>
      </w:r>
      <w:r w:rsidR="00F83F5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SGL definition change does not alter the current reporting of Participation Certificates, but it expands the use of SGL 254000 to include the use of </w:t>
      </w:r>
      <w:r w:rsidR="006641E9">
        <w:rPr>
          <w:rFonts w:asciiTheme="minorHAnsi" w:hAnsiTheme="minorHAnsi" w:cstheme="minorHAnsi"/>
          <w:bCs/>
          <w:i/>
          <w:iCs/>
          <w:sz w:val="22"/>
          <w:szCs w:val="22"/>
        </w:rPr>
        <w:t>‘</w:t>
      </w:r>
      <w:r w:rsidR="00F83F51">
        <w:rPr>
          <w:rFonts w:asciiTheme="minorHAnsi" w:hAnsiTheme="minorHAnsi" w:cstheme="minorHAnsi"/>
          <w:bCs/>
          <w:i/>
          <w:iCs/>
          <w:sz w:val="22"/>
          <w:szCs w:val="22"/>
        </w:rPr>
        <w:t>payment certificates.</w:t>
      </w:r>
      <w:r w:rsidR="006641E9">
        <w:rPr>
          <w:rFonts w:asciiTheme="minorHAnsi" w:hAnsiTheme="minorHAnsi" w:cstheme="minorHAnsi"/>
          <w:bCs/>
          <w:i/>
          <w:iCs/>
          <w:sz w:val="22"/>
          <w:szCs w:val="22"/>
        </w:rPr>
        <w:t>’</w:t>
      </w:r>
      <w:r w:rsidR="00F83F5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6641E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FF3EA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Payment certificates issued in exchange for an obligor’s defaulted note that are guaranteed by federal </w:t>
      </w:r>
      <w:r w:rsidR="0052060A">
        <w:rPr>
          <w:rFonts w:asciiTheme="minorHAnsi" w:hAnsiTheme="minorHAnsi" w:cstheme="minorHAnsi"/>
          <w:bCs/>
          <w:i/>
          <w:iCs/>
          <w:sz w:val="22"/>
          <w:szCs w:val="22"/>
        </w:rPr>
        <w:t>entities</w:t>
      </w:r>
      <w:r w:rsidR="00FF3EA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should be reported on the Balance Sheet as </w:t>
      </w:r>
      <w:r w:rsidR="00C36951">
        <w:rPr>
          <w:rFonts w:asciiTheme="minorHAnsi" w:hAnsiTheme="minorHAnsi" w:cstheme="minorHAnsi"/>
          <w:bCs/>
          <w:i/>
          <w:iCs/>
          <w:sz w:val="22"/>
          <w:szCs w:val="22"/>
        </w:rPr>
        <w:t>“</w:t>
      </w:r>
      <w:r w:rsidR="00FF3EA2">
        <w:rPr>
          <w:rFonts w:asciiTheme="minorHAnsi" w:hAnsiTheme="minorHAnsi" w:cstheme="minorHAnsi"/>
          <w:bCs/>
          <w:i/>
          <w:iCs/>
          <w:sz w:val="22"/>
          <w:szCs w:val="22"/>
        </w:rPr>
        <w:t>Federal Debt and Interest Payable</w:t>
      </w:r>
      <w:r w:rsidR="00C36951">
        <w:rPr>
          <w:rFonts w:asciiTheme="minorHAnsi" w:hAnsiTheme="minorHAnsi" w:cstheme="minorHAnsi"/>
          <w:bCs/>
          <w:i/>
          <w:iCs/>
          <w:sz w:val="22"/>
          <w:szCs w:val="22"/>
        </w:rPr>
        <w:t>”</w:t>
      </w:r>
      <w:r w:rsidR="00FF3EA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rather than </w:t>
      </w:r>
      <w:r w:rsidR="00C36951">
        <w:rPr>
          <w:rFonts w:asciiTheme="minorHAnsi" w:hAnsiTheme="minorHAnsi" w:cstheme="minorHAnsi"/>
          <w:bCs/>
          <w:i/>
          <w:iCs/>
          <w:sz w:val="22"/>
          <w:szCs w:val="22"/>
        </w:rPr>
        <w:t>“</w:t>
      </w:r>
      <w:r w:rsidR="00FF3EA2">
        <w:rPr>
          <w:rFonts w:asciiTheme="minorHAnsi" w:hAnsiTheme="minorHAnsi" w:cstheme="minorHAnsi"/>
          <w:bCs/>
          <w:i/>
          <w:iCs/>
          <w:sz w:val="22"/>
          <w:szCs w:val="22"/>
        </w:rPr>
        <w:t>Other Liabilities.</w:t>
      </w:r>
      <w:r w:rsidR="00C36951">
        <w:rPr>
          <w:rFonts w:asciiTheme="minorHAnsi" w:hAnsiTheme="minorHAnsi" w:cstheme="minorHAnsi"/>
          <w:bCs/>
          <w:i/>
          <w:iCs/>
          <w:sz w:val="22"/>
          <w:szCs w:val="22"/>
        </w:rPr>
        <w:t>”</w:t>
      </w:r>
      <w:r w:rsidR="00FF3EA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</w:t>
      </w:r>
      <w:r w:rsidR="00F83F51">
        <w:rPr>
          <w:rFonts w:asciiTheme="minorHAnsi" w:hAnsiTheme="minorHAnsi" w:cstheme="minorHAnsi"/>
          <w:bCs/>
          <w:i/>
          <w:iCs/>
          <w:sz w:val="22"/>
          <w:szCs w:val="22"/>
        </w:rPr>
        <w:t>This SGL</w:t>
      </w:r>
      <w:r w:rsidR="004E5C1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crosswalks </w:t>
      </w:r>
      <w:r w:rsidR="00BF2A2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both participation certificates and payment certificates </w:t>
      </w:r>
      <w:r w:rsidR="004E5C1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to </w:t>
      </w:r>
      <w:r w:rsidR="00BF2A27">
        <w:rPr>
          <w:rFonts w:asciiTheme="minorHAnsi" w:hAnsiTheme="minorHAnsi" w:cstheme="minorHAnsi"/>
          <w:bCs/>
          <w:i/>
          <w:iCs/>
          <w:sz w:val="22"/>
          <w:szCs w:val="22"/>
        </w:rPr>
        <w:t>“</w:t>
      </w:r>
      <w:r w:rsidR="004E5C10">
        <w:rPr>
          <w:rFonts w:asciiTheme="minorHAnsi" w:hAnsiTheme="minorHAnsi" w:cstheme="minorHAnsi"/>
          <w:bCs/>
          <w:i/>
          <w:iCs/>
          <w:sz w:val="22"/>
          <w:szCs w:val="22"/>
        </w:rPr>
        <w:t>Federal Debt and Interest Payable</w:t>
      </w:r>
      <w:r w:rsidR="00BF2A27">
        <w:rPr>
          <w:rFonts w:asciiTheme="minorHAnsi" w:hAnsiTheme="minorHAnsi" w:cstheme="minorHAnsi"/>
          <w:bCs/>
          <w:i/>
          <w:iCs/>
          <w:sz w:val="22"/>
          <w:szCs w:val="22"/>
        </w:rPr>
        <w:t>”</w:t>
      </w:r>
      <w:r w:rsidR="004E5C1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on the Balance Sheet</w:t>
      </w:r>
      <w:r w:rsidR="002C7885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  <w:p w14:paraId="250324C9" w14:textId="77777777" w:rsidR="00C472DD" w:rsidRDefault="00C472DD" w:rsidP="00EB1BBD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216EC11" w14:textId="23B6315E" w:rsidR="00C472DD" w:rsidRPr="00CE7ABD" w:rsidRDefault="00C472DD" w:rsidP="00C472DD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CE7ABD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Pr="00CE7ABD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Actuarial Liabilities</w:t>
      </w:r>
    </w:p>
    <w:p w14:paraId="546B3BCA" w14:textId="77777777" w:rsidR="00C472DD" w:rsidRDefault="00C472DD" w:rsidP="00C472DD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937133" w14:textId="5D4D0388" w:rsidR="00C472DD" w:rsidRPr="00C472DD" w:rsidRDefault="00C472DD" w:rsidP="00C472DD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Theme="minorHAnsi" w:hAnsiTheme="minorHAnsi" w:cstheme="minorHAnsi"/>
          <w:sz w:val="22"/>
          <w:szCs w:val="22"/>
        </w:rPr>
      </w:pPr>
      <w:r w:rsidRPr="00C472DD">
        <w:rPr>
          <w:rFonts w:asciiTheme="minorHAnsi" w:hAnsiTheme="minorHAnsi" w:cstheme="minorHAnsi"/>
          <w:b/>
          <w:sz w:val="22"/>
          <w:szCs w:val="22"/>
        </w:rPr>
        <w:t>Account Title</w:t>
      </w:r>
      <w:r w:rsidRPr="00C472DD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C472DD">
        <w:rPr>
          <w:rFonts w:asciiTheme="minorHAnsi" w:hAnsiTheme="minorHAnsi" w:cstheme="minorHAnsi"/>
          <w:sz w:val="22"/>
          <w:szCs w:val="22"/>
        </w:rPr>
        <w:t xml:space="preserve">Actuarial Liabilities for </w:t>
      </w:r>
      <w:r w:rsidRPr="008C3502">
        <w:rPr>
          <w:rFonts w:asciiTheme="minorHAnsi" w:hAnsiTheme="minorHAnsi" w:cstheme="minorHAnsi"/>
          <w:sz w:val="22"/>
          <w:szCs w:val="22"/>
        </w:rPr>
        <w:t>Treasury</w:t>
      </w:r>
      <w:r w:rsidR="00BB092E" w:rsidRPr="008C3502">
        <w:rPr>
          <w:rFonts w:asciiTheme="minorHAnsi" w:hAnsiTheme="minorHAnsi" w:cstheme="minorHAnsi"/>
          <w:sz w:val="22"/>
          <w:szCs w:val="22"/>
        </w:rPr>
        <w:t xml:space="preserve"> </w:t>
      </w:r>
      <w:r w:rsidR="008C3502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and Department of Labor</w:t>
      </w:r>
      <w:r w:rsidRPr="00C472DD">
        <w:rPr>
          <w:rFonts w:asciiTheme="minorHAnsi" w:hAnsiTheme="minorHAnsi" w:cstheme="minorHAnsi"/>
          <w:sz w:val="22"/>
          <w:szCs w:val="22"/>
        </w:rPr>
        <w:t>-Managed Benefit Programs</w:t>
      </w:r>
    </w:p>
    <w:p w14:paraId="446A92DC" w14:textId="459A88EC" w:rsidR="00C472DD" w:rsidRPr="00C472DD" w:rsidRDefault="00C472DD" w:rsidP="00C472DD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Theme="minorHAnsi" w:hAnsiTheme="minorHAnsi" w:cstheme="minorHAnsi"/>
          <w:sz w:val="22"/>
          <w:szCs w:val="22"/>
        </w:rPr>
      </w:pPr>
      <w:r w:rsidRPr="00C472DD">
        <w:rPr>
          <w:rFonts w:asciiTheme="minorHAnsi" w:hAnsiTheme="minorHAnsi" w:cstheme="minorHAnsi"/>
          <w:b/>
          <w:sz w:val="22"/>
          <w:szCs w:val="22"/>
        </w:rPr>
        <w:t>Account Number</w:t>
      </w:r>
      <w:r w:rsidRPr="00C472DD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C472DD">
        <w:rPr>
          <w:rFonts w:asciiTheme="minorHAnsi" w:hAnsiTheme="minorHAnsi" w:cstheme="minorHAnsi"/>
          <w:sz w:val="22"/>
          <w:szCs w:val="22"/>
        </w:rPr>
        <w:t>267000</w:t>
      </w:r>
    </w:p>
    <w:p w14:paraId="4790D9E3" w14:textId="517D2797" w:rsidR="00C472DD" w:rsidRPr="00C472DD" w:rsidRDefault="00C472DD" w:rsidP="00C472DD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Theme="minorHAnsi" w:hAnsiTheme="minorHAnsi" w:cstheme="minorHAnsi"/>
          <w:sz w:val="22"/>
          <w:szCs w:val="22"/>
        </w:rPr>
      </w:pPr>
      <w:r w:rsidRPr="00C472DD">
        <w:rPr>
          <w:rFonts w:asciiTheme="minorHAnsi" w:hAnsiTheme="minorHAnsi" w:cstheme="minorHAnsi"/>
          <w:b/>
          <w:sz w:val="22"/>
          <w:szCs w:val="22"/>
        </w:rPr>
        <w:t>Normal Balance</w:t>
      </w:r>
      <w:r w:rsidRPr="00C472DD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C472DD">
        <w:rPr>
          <w:rFonts w:asciiTheme="minorHAnsi" w:hAnsiTheme="minorHAnsi" w:cstheme="minorHAnsi"/>
          <w:sz w:val="22"/>
          <w:szCs w:val="22"/>
        </w:rPr>
        <w:t>Credit</w:t>
      </w:r>
    </w:p>
    <w:p w14:paraId="1B03BCBF" w14:textId="19256444" w:rsidR="00C472DD" w:rsidRPr="00C472DD" w:rsidRDefault="00C472DD" w:rsidP="00C472DD">
      <w:pPr>
        <w:pStyle w:val="PlainText"/>
        <w:keepNext/>
        <w:keepLines/>
        <w:tabs>
          <w:tab w:val="left" w:pos="1920"/>
        </w:tabs>
        <w:rPr>
          <w:rFonts w:asciiTheme="minorHAnsi" w:hAnsiTheme="minorHAnsi" w:cstheme="minorHAnsi"/>
          <w:sz w:val="22"/>
          <w:szCs w:val="22"/>
        </w:rPr>
      </w:pPr>
      <w:r w:rsidRPr="00C472DD">
        <w:rPr>
          <w:rFonts w:asciiTheme="minorHAnsi" w:hAnsiTheme="minorHAnsi" w:cstheme="minorHAnsi"/>
          <w:b/>
          <w:sz w:val="22"/>
          <w:szCs w:val="22"/>
        </w:rPr>
        <w:t>Definition</w:t>
      </w:r>
      <w:r w:rsidRPr="00C472DD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C472DD">
        <w:rPr>
          <w:rFonts w:asciiTheme="minorHAnsi" w:hAnsiTheme="minorHAnsi" w:cstheme="minorHAnsi"/>
          <w:sz w:val="22"/>
          <w:szCs w:val="22"/>
        </w:rPr>
        <w:t xml:space="preserve">This account is used to record the amount recorded by the Department of the Treasury </w:t>
      </w:r>
      <w:r w:rsidR="002F3C0E" w:rsidRPr="002F3C0E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and Department of Labor </w:t>
      </w:r>
      <w:r w:rsidRPr="00C472DD">
        <w:rPr>
          <w:rFonts w:asciiTheme="minorHAnsi" w:hAnsiTheme="minorHAnsi" w:cstheme="minorHAnsi"/>
          <w:sz w:val="22"/>
          <w:szCs w:val="22"/>
        </w:rPr>
        <w:t>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472DD">
        <w:rPr>
          <w:rFonts w:asciiTheme="minorHAnsi" w:hAnsiTheme="minorHAnsi" w:cstheme="minorHAnsi"/>
          <w:sz w:val="22"/>
          <w:szCs w:val="22"/>
        </w:rPr>
        <w:t>actuarial liabilities of future benefit payments to be paid from programs such as the D.C. Federal Pension Fund</w:t>
      </w:r>
      <w:r w:rsidR="008C3502">
        <w:rPr>
          <w:rFonts w:asciiTheme="minorHAnsi" w:hAnsiTheme="minorHAnsi" w:cstheme="minorHAnsi"/>
          <w:color w:val="0070C0"/>
          <w:sz w:val="22"/>
          <w:szCs w:val="22"/>
        </w:rPr>
        <w:t>,</w:t>
      </w:r>
      <w:r w:rsidRPr="00C472DD">
        <w:rPr>
          <w:rFonts w:asciiTheme="minorHAnsi" w:hAnsiTheme="minorHAnsi" w:cstheme="minorHAnsi"/>
          <w:sz w:val="22"/>
          <w:szCs w:val="22"/>
        </w:rPr>
        <w:t xml:space="preserve"> </w:t>
      </w:r>
      <w:r w:rsidRPr="008C3502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and </w:t>
      </w:r>
      <w:r w:rsidRPr="004E64BD">
        <w:rPr>
          <w:rFonts w:asciiTheme="minorHAnsi" w:hAnsiTheme="minorHAnsi" w:cstheme="minorHAnsi"/>
          <w:sz w:val="22"/>
          <w:szCs w:val="22"/>
        </w:rPr>
        <w:t>the</w:t>
      </w:r>
      <w:r w:rsidRPr="008C350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472DD">
        <w:rPr>
          <w:rFonts w:asciiTheme="minorHAnsi" w:hAnsiTheme="minorHAnsi" w:cstheme="minorHAnsi"/>
          <w:sz w:val="22"/>
          <w:szCs w:val="22"/>
        </w:rPr>
        <w:t>D.C. Judicial Retirement Fund</w:t>
      </w:r>
      <w:r w:rsidR="008C3502" w:rsidRPr="008C3502">
        <w:rPr>
          <w:rFonts w:asciiTheme="minorHAnsi" w:hAnsiTheme="minorHAnsi" w:cstheme="minorHAnsi"/>
          <w:color w:val="0070C0"/>
          <w:sz w:val="22"/>
          <w:szCs w:val="22"/>
        </w:rPr>
        <w:t>,</w:t>
      </w:r>
      <w:r w:rsidR="008C3502" w:rsidRPr="008C3502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  <w:r w:rsidR="004E64BD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and the </w:t>
      </w:r>
      <w:r w:rsidR="008C3502" w:rsidRPr="002F3C0E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Energy Employees Occupational Illness Compensation Fund</w:t>
      </w:r>
      <w:r w:rsidRPr="00C472DD">
        <w:rPr>
          <w:rFonts w:asciiTheme="minorHAnsi" w:hAnsiTheme="minorHAnsi" w:cstheme="minorHAnsi"/>
          <w:sz w:val="22"/>
          <w:szCs w:val="22"/>
        </w:rPr>
        <w:t>. This account does not close at year-end.</w:t>
      </w:r>
    </w:p>
    <w:p w14:paraId="1DA74A87" w14:textId="77777777" w:rsidR="00C472DD" w:rsidRPr="00B962B7" w:rsidRDefault="00C472DD" w:rsidP="00C472DD">
      <w:pPr>
        <w:pStyle w:val="Default"/>
        <w:rPr>
          <w:rFonts w:asciiTheme="minorHAnsi" w:hAnsiTheme="minorHAnsi" w:cstheme="minorHAnsi"/>
          <w:bCs/>
          <w:color w:val="2E74B5" w:themeColor="accent5" w:themeShade="BF"/>
          <w:sz w:val="22"/>
          <w:szCs w:val="22"/>
        </w:rPr>
      </w:pPr>
    </w:p>
    <w:p w14:paraId="35E2CFC5" w14:textId="331A6228" w:rsidR="00C472DD" w:rsidRDefault="00C472DD" w:rsidP="00C472DD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Justification: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This proposed SGL</w:t>
      </w:r>
      <w:r w:rsidR="00EE570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title and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definition change expands the use of SGL 2</w:t>
      </w:r>
      <w:r w:rsidR="00EE5703">
        <w:rPr>
          <w:rFonts w:asciiTheme="minorHAnsi" w:hAnsiTheme="minorHAnsi" w:cstheme="minorHAnsi"/>
          <w:bCs/>
          <w:i/>
          <w:iCs/>
          <w:sz w:val="22"/>
          <w:szCs w:val="22"/>
        </w:rPr>
        <w:t>67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000 to include the </w:t>
      </w:r>
      <w:r w:rsidR="00EE5703">
        <w:rPr>
          <w:rFonts w:asciiTheme="minorHAnsi" w:hAnsiTheme="minorHAnsi" w:cstheme="minorHAnsi"/>
          <w:bCs/>
          <w:i/>
          <w:iCs/>
          <w:sz w:val="22"/>
          <w:szCs w:val="22"/>
        </w:rPr>
        <w:t>Department of Labor’s Energy Employees Occupational Illness Compensation Fund.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16B3B076" w14:textId="7612FCC1" w:rsidR="00C472DD" w:rsidRPr="00CE7ABD" w:rsidRDefault="00C472DD" w:rsidP="00EB1BBD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sectPr w:rsidR="00C472DD" w:rsidRPr="00CE7A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D7B4" w14:textId="77777777" w:rsidR="00745D48" w:rsidRDefault="00745D48" w:rsidP="00745D48">
      <w:pPr>
        <w:spacing w:after="0" w:line="240" w:lineRule="auto"/>
      </w:pPr>
      <w:r>
        <w:separator/>
      </w:r>
    </w:p>
  </w:endnote>
  <w:endnote w:type="continuationSeparator" w:id="0">
    <w:p w14:paraId="04356A80" w14:textId="77777777" w:rsidR="00745D48" w:rsidRDefault="00745D48" w:rsidP="0074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724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309C2C" w14:textId="233D7849" w:rsidR="00745D48" w:rsidRDefault="00745D48" w:rsidP="00745D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                                      </w:t>
            </w:r>
            <w:r w:rsidR="006024F8">
              <w:t xml:space="preserve">  </w:t>
            </w:r>
            <w:r w:rsidRPr="00745D48">
              <w:rPr>
                <w:b/>
                <w:bCs/>
              </w:rPr>
              <w:t xml:space="preserve">IRC Handout </w:t>
            </w:r>
            <w:r w:rsidR="00C472DD">
              <w:rPr>
                <w:b/>
                <w:bCs/>
              </w:rPr>
              <w:t xml:space="preserve">February 19, </w:t>
            </w:r>
            <w:r w:rsidR="00934B1F">
              <w:rPr>
                <w:b/>
                <w:bCs/>
              </w:rPr>
              <w:t>202</w:t>
            </w:r>
            <w:r w:rsidR="00C472DD">
              <w:rPr>
                <w:b/>
                <w:bCs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5177" w14:textId="77777777" w:rsidR="00745D48" w:rsidRDefault="00745D48" w:rsidP="00745D48">
      <w:pPr>
        <w:spacing w:after="0" w:line="240" w:lineRule="auto"/>
      </w:pPr>
      <w:r>
        <w:separator/>
      </w:r>
    </w:p>
  </w:footnote>
  <w:footnote w:type="continuationSeparator" w:id="0">
    <w:p w14:paraId="78F93FB1" w14:textId="77777777" w:rsidR="00745D48" w:rsidRDefault="00745D48" w:rsidP="0074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2818670"/>
      <w:docPartObj>
        <w:docPartGallery w:val="Watermarks"/>
        <w:docPartUnique/>
      </w:docPartObj>
    </w:sdtPr>
    <w:sdtEndPr/>
    <w:sdtContent>
      <w:p w14:paraId="4315AFAC" w14:textId="6C7983B8" w:rsidR="0025780A" w:rsidRDefault="004E64BD">
        <w:pPr>
          <w:pStyle w:val="Header"/>
        </w:pPr>
        <w:r>
          <w:rPr>
            <w:noProof/>
          </w:rPr>
          <w:pict w14:anchorId="18AE4C4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6A70"/>
    <w:multiLevelType w:val="hybridMultilevel"/>
    <w:tmpl w:val="AD0AC4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D4960"/>
    <w:multiLevelType w:val="hybridMultilevel"/>
    <w:tmpl w:val="3B0810DC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745615">
    <w:abstractNumId w:val="0"/>
  </w:num>
  <w:num w:numId="2" w16cid:durableId="593634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82"/>
    <w:rsid w:val="00060BF1"/>
    <w:rsid w:val="00086B3E"/>
    <w:rsid w:val="000A0A31"/>
    <w:rsid w:val="000A15C0"/>
    <w:rsid w:val="000A45BE"/>
    <w:rsid w:val="000A50A9"/>
    <w:rsid w:val="000C10C6"/>
    <w:rsid w:val="000C1D4B"/>
    <w:rsid w:val="001129DF"/>
    <w:rsid w:val="001324E6"/>
    <w:rsid w:val="00177DAC"/>
    <w:rsid w:val="001B470A"/>
    <w:rsid w:val="001D2FAF"/>
    <w:rsid w:val="001E68DF"/>
    <w:rsid w:val="001F64C5"/>
    <w:rsid w:val="001F6BC0"/>
    <w:rsid w:val="002024E2"/>
    <w:rsid w:val="00204A8A"/>
    <w:rsid w:val="00207FDA"/>
    <w:rsid w:val="00211F8B"/>
    <w:rsid w:val="0025780A"/>
    <w:rsid w:val="00261747"/>
    <w:rsid w:val="00292A0C"/>
    <w:rsid w:val="002949C4"/>
    <w:rsid w:val="002B00EE"/>
    <w:rsid w:val="002B301B"/>
    <w:rsid w:val="002C7885"/>
    <w:rsid w:val="002F3C0E"/>
    <w:rsid w:val="00311177"/>
    <w:rsid w:val="00343BB0"/>
    <w:rsid w:val="0035338E"/>
    <w:rsid w:val="0035407F"/>
    <w:rsid w:val="00364CA1"/>
    <w:rsid w:val="00381CE8"/>
    <w:rsid w:val="00383A13"/>
    <w:rsid w:val="00396564"/>
    <w:rsid w:val="003A054A"/>
    <w:rsid w:val="003A3165"/>
    <w:rsid w:val="003A759C"/>
    <w:rsid w:val="003B675E"/>
    <w:rsid w:val="003C711F"/>
    <w:rsid w:val="003E7E5B"/>
    <w:rsid w:val="003F2474"/>
    <w:rsid w:val="00403CC8"/>
    <w:rsid w:val="00412312"/>
    <w:rsid w:val="0041400B"/>
    <w:rsid w:val="0042121C"/>
    <w:rsid w:val="00430DFE"/>
    <w:rsid w:val="00441236"/>
    <w:rsid w:val="004A12DE"/>
    <w:rsid w:val="004B131E"/>
    <w:rsid w:val="004C564A"/>
    <w:rsid w:val="004D1AF9"/>
    <w:rsid w:val="004E5C10"/>
    <w:rsid w:val="004E64BD"/>
    <w:rsid w:val="0052060A"/>
    <w:rsid w:val="00521E33"/>
    <w:rsid w:val="00522642"/>
    <w:rsid w:val="0053665C"/>
    <w:rsid w:val="00536DAC"/>
    <w:rsid w:val="00554987"/>
    <w:rsid w:val="00595EA9"/>
    <w:rsid w:val="005A0887"/>
    <w:rsid w:val="005A6077"/>
    <w:rsid w:val="005B4AE9"/>
    <w:rsid w:val="005C3E4F"/>
    <w:rsid w:val="005C5F08"/>
    <w:rsid w:val="005D53D6"/>
    <w:rsid w:val="005F0518"/>
    <w:rsid w:val="006024F8"/>
    <w:rsid w:val="0061370D"/>
    <w:rsid w:val="006363F6"/>
    <w:rsid w:val="00637C90"/>
    <w:rsid w:val="00641368"/>
    <w:rsid w:val="0064564D"/>
    <w:rsid w:val="00651FF5"/>
    <w:rsid w:val="006641E9"/>
    <w:rsid w:val="0069597E"/>
    <w:rsid w:val="0069663B"/>
    <w:rsid w:val="006E088B"/>
    <w:rsid w:val="006F6AB0"/>
    <w:rsid w:val="0072601F"/>
    <w:rsid w:val="00731533"/>
    <w:rsid w:val="00734409"/>
    <w:rsid w:val="00745D48"/>
    <w:rsid w:val="0075009C"/>
    <w:rsid w:val="00750892"/>
    <w:rsid w:val="007673FB"/>
    <w:rsid w:val="007E531A"/>
    <w:rsid w:val="007E7815"/>
    <w:rsid w:val="007E7CFB"/>
    <w:rsid w:val="007F337A"/>
    <w:rsid w:val="00800998"/>
    <w:rsid w:val="00807E0C"/>
    <w:rsid w:val="0081279B"/>
    <w:rsid w:val="0082203E"/>
    <w:rsid w:val="0082627A"/>
    <w:rsid w:val="00846766"/>
    <w:rsid w:val="00865DC3"/>
    <w:rsid w:val="00867254"/>
    <w:rsid w:val="00872495"/>
    <w:rsid w:val="00886334"/>
    <w:rsid w:val="008876B0"/>
    <w:rsid w:val="008A0952"/>
    <w:rsid w:val="008A33F8"/>
    <w:rsid w:val="008C3502"/>
    <w:rsid w:val="008C480A"/>
    <w:rsid w:val="008E009A"/>
    <w:rsid w:val="008F18F0"/>
    <w:rsid w:val="00900922"/>
    <w:rsid w:val="0090302D"/>
    <w:rsid w:val="00904348"/>
    <w:rsid w:val="00906CC5"/>
    <w:rsid w:val="00915083"/>
    <w:rsid w:val="0093228B"/>
    <w:rsid w:val="009333AA"/>
    <w:rsid w:val="00934B1F"/>
    <w:rsid w:val="009A1003"/>
    <w:rsid w:val="009B7971"/>
    <w:rsid w:val="00A033C1"/>
    <w:rsid w:val="00A119AA"/>
    <w:rsid w:val="00A11BD3"/>
    <w:rsid w:val="00A20263"/>
    <w:rsid w:val="00A42F5F"/>
    <w:rsid w:val="00A43F75"/>
    <w:rsid w:val="00A65AE3"/>
    <w:rsid w:val="00A87B86"/>
    <w:rsid w:val="00A90A83"/>
    <w:rsid w:val="00AA5BDD"/>
    <w:rsid w:val="00AB017D"/>
    <w:rsid w:val="00AC44E3"/>
    <w:rsid w:val="00AD46C3"/>
    <w:rsid w:val="00AE75F2"/>
    <w:rsid w:val="00B42FC9"/>
    <w:rsid w:val="00B458F5"/>
    <w:rsid w:val="00B55DE8"/>
    <w:rsid w:val="00B65453"/>
    <w:rsid w:val="00B66C2F"/>
    <w:rsid w:val="00B7201A"/>
    <w:rsid w:val="00B84E01"/>
    <w:rsid w:val="00B962B7"/>
    <w:rsid w:val="00BA7024"/>
    <w:rsid w:val="00BB092E"/>
    <w:rsid w:val="00BB228A"/>
    <w:rsid w:val="00BB25CF"/>
    <w:rsid w:val="00BB3C9A"/>
    <w:rsid w:val="00BC7F64"/>
    <w:rsid w:val="00BF2A27"/>
    <w:rsid w:val="00C03801"/>
    <w:rsid w:val="00C11201"/>
    <w:rsid w:val="00C14153"/>
    <w:rsid w:val="00C25F69"/>
    <w:rsid w:val="00C36951"/>
    <w:rsid w:val="00C4296E"/>
    <w:rsid w:val="00C472DD"/>
    <w:rsid w:val="00C5174C"/>
    <w:rsid w:val="00C70A55"/>
    <w:rsid w:val="00C737D2"/>
    <w:rsid w:val="00C823F4"/>
    <w:rsid w:val="00C839D7"/>
    <w:rsid w:val="00C92C7F"/>
    <w:rsid w:val="00C92FBE"/>
    <w:rsid w:val="00CB317E"/>
    <w:rsid w:val="00CB421B"/>
    <w:rsid w:val="00CD29FA"/>
    <w:rsid w:val="00CD3E7A"/>
    <w:rsid w:val="00CE6A65"/>
    <w:rsid w:val="00CE7ABD"/>
    <w:rsid w:val="00D33FDC"/>
    <w:rsid w:val="00D511B2"/>
    <w:rsid w:val="00DB0B43"/>
    <w:rsid w:val="00DB4A41"/>
    <w:rsid w:val="00DC0FE2"/>
    <w:rsid w:val="00DD2FB4"/>
    <w:rsid w:val="00DD6FAB"/>
    <w:rsid w:val="00DE46D6"/>
    <w:rsid w:val="00DE504A"/>
    <w:rsid w:val="00DE6C87"/>
    <w:rsid w:val="00DF27EF"/>
    <w:rsid w:val="00E0048F"/>
    <w:rsid w:val="00E163F0"/>
    <w:rsid w:val="00E36D30"/>
    <w:rsid w:val="00E47A7D"/>
    <w:rsid w:val="00E7557C"/>
    <w:rsid w:val="00E90FAD"/>
    <w:rsid w:val="00EA050F"/>
    <w:rsid w:val="00EB0A68"/>
    <w:rsid w:val="00EB1BBD"/>
    <w:rsid w:val="00EB678C"/>
    <w:rsid w:val="00ED26B7"/>
    <w:rsid w:val="00EE5505"/>
    <w:rsid w:val="00EE5703"/>
    <w:rsid w:val="00EF5105"/>
    <w:rsid w:val="00F304A0"/>
    <w:rsid w:val="00F51D92"/>
    <w:rsid w:val="00F52182"/>
    <w:rsid w:val="00F61BE8"/>
    <w:rsid w:val="00F83F51"/>
    <w:rsid w:val="00F910E3"/>
    <w:rsid w:val="00F968E9"/>
    <w:rsid w:val="00FA3DF2"/>
    <w:rsid w:val="00FC58AD"/>
    <w:rsid w:val="00FD6EB3"/>
    <w:rsid w:val="00FE7419"/>
    <w:rsid w:val="00FF3EA2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F758BE"/>
  <w15:chartTrackingRefBased/>
  <w15:docId w15:val="{6DFCBAFA-9714-42C3-A3CE-ECB0C490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33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33F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48"/>
  </w:style>
  <w:style w:type="paragraph" w:styleId="Footer">
    <w:name w:val="footer"/>
    <w:basedOn w:val="Normal"/>
    <w:link w:val="Foot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48"/>
  </w:style>
  <w:style w:type="paragraph" w:customStyle="1" w:styleId="Default">
    <w:name w:val="Default"/>
    <w:basedOn w:val="Normal"/>
    <w:rsid w:val="0087249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customStyle="1" w:styleId="ui-provider">
    <w:name w:val="ui-provider"/>
    <w:basedOn w:val="DefaultParagraphFont"/>
    <w:rsid w:val="0069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David Casto</dc:creator>
  <cp:keywords/>
  <dc:description/>
  <cp:lastModifiedBy>Terence B. Caldwell</cp:lastModifiedBy>
  <cp:revision>106</cp:revision>
  <dcterms:created xsi:type="dcterms:W3CDTF">2024-10-28T14:18:00Z</dcterms:created>
  <dcterms:modified xsi:type="dcterms:W3CDTF">2025-02-10T20:49:00Z</dcterms:modified>
</cp:coreProperties>
</file>