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59" w:type="dxa"/>
        <w:tblInd w:w="40" w:type="dxa"/>
        <w:tblLayout w:type="fixed"/>
        <w:tblCellMar>
          <w:top w:w="20" w:type="dxa"/>
          <w:left w:w="40" w:type="dxa"/>
          <w:bottom w:w="20" w:type="dxa"/>
          <w:right w:w="40" w:type="dxa"/>
        </w:tblCellMar>
        <w:tblLook w:val="0480" w:firstRow="0" w:lastRow="0" w:firstColumn="1" w:lastColumn="0" w:noHBand="0" w:noVBand="1"/>
      </w:tblPr>
      <w:tblGrid>
        <w:gridCol w:w="2120"/>
        <w:gridCol w:w="1441"/>
        <w:gridCol w:w="5040"/>
        <w:gridCol w:w="2879"/>
        <w:gridCol w:w="719"/>
        <w:gridCol w:w="1300"/>
        <w:gridCol w:w="860"/>
      </w:tblGrid>
      <w:tr w:rsidR="00D2773E" w:rsidRPr="00D2773E" w14:paraId="724760C1" w14:textId="77777777" w:rsidTr="00D4312E">
        <w:trPr>
          <w:cantSplit/>
        </w:trPr>
        <w:tc>
          <w:tcPr>
            <w:tcW w:w="2120" w:type="dxa"/>
          </w:tcPr>
          <w:p w14:paraId="5502A94F" w14:textId="77777777" w:rsidR="00D2773E" w:rsidRPr="00D2773E" w:rsidRDefault="00D2773E" w:rsidP="007D1659">
            <w:pPr>
              <w:pStyle w:val="PlainText"/>
              <w:rPr>
                <w:rFonts w:ascii="TimesNewRoman" w:hAnsi="TimesNewRoman" w:cs="Courier New"/>
                <w:sz w:val="20"/>
              </w:rPr>
            </w:pPr>
            <w:r w:rsidRPr="00D2773E">
              <w:rPr>
                <w:rFonts w:ascii="TimesNewRoman" w:hAnsi="TimesNewRoman" w:cs="Courier New"/>
                <w:sz w:val="20"/>
              </w:rPr>
              <w:t>Authority Type Code</w:t>
            </w:r>
          </w:p>
        </w:tc>
        <w:tc>
          <w:tcPr>
            <w:tcW w:w="1441" w:type="dxa"/>
          </w:tcPr>
          <w:p w14:paraId="622620A0" w14:textId="77777777" w:rsidR="00D2773E" w:rsidRPr="00D2773E" w:rsidRDefault="00D2773E" w:rsidP="007D1659">
            <w:pPr>
              <w:pStyle w:val="PlainText"/>
              <w:rPr>
                <w:rFonts w:ascii="TimesNewRoman" w:hAnsi="TimesNewRoman" w:cs="Courier New"/>
                <w:sz w:val="20"/>
              </w:rPr>
            </w:pPr>
            <w:r w:rsidRPr="00D2773E">
              <w:rPr>
                <w:rFonts w:ascii="TimesNewRoman" w:hAnsi="TimesNewRoman" w:cs="Courier New"/>
                <w:sz w:val="20"/>
              </w:rPr>
              <w:t>Auth Type Code</w:t>
            </w:r>
          </w:p>
        </w:tc>
        <w:tc>
          <w:tcPr>
            <w:tcW w:w="5040" w:type="dxa"/>
          </w:tcPr>
          <w:p w14:paraId="6BBE8DA9" w14:textId="77777777" w:rsidR="00D2773E" w:rsidRPr="00D2773E" w:rsidRDefault="00D2773E" w:rsidP="007D1659">
            <w:pPr>
              <w:pStyle w:val="PlainText"/>
              <w:rPr>
                <w:rFonts w:ascii="TimesNewRoman" w:hAnsi="TimesNewRoman" w:cs="Courier New"/>
                <w:sz w:val="20"/>
              </w:rPr>
            </w:pPr>
            <w:r w:rsidRPr="00D2773E">
              <w:rPr>
                <w:rFonts w:ascii="TimesNewRoman" w:hAnsi="TimesNewRoman" w:cs="Courier New"/>
                <w:sz w:val="20"/>
              </w:rPr>
              <w:t>Distinguishes among the types of budgetary resources, where it is not possible to do so by the USSGL Account Number Code. For example, the USSGL rescission accounts (USSGL accounts 439200 and 439300) do not distinguish between rescissions of appropriations or contract authority.</w:t>
            </w:r>
          </w:p>
        </w:tc>
        <w:tc>
          <w:tcPr>
            <w:tcW w:w="2879" w:type="dxa"/>
          </w:tcPr>
          <w:p w14:paraId="084D900C" w14:textId="77777777" w:rsidR="00D2773E" w:rsidRDefault="00D2773E" w:rsidP="007D1659">
            <w:pPr>
              <w:pStyle w:val="PlainText"/>
              <w:rPr>
                <w:rFonts w:ascii="TimesNewRoman" w:hAnsi="TimesNewRoman" w:cs="Courier New"/>
                <w:sz w:val="20"/>
              </w:rPr>
            </w:pPr>
            <w:r>
              <w:rPr>
                <w:rFonts w:ascii="TimesNewRoman" w:hAnsi="TimesNewRoman" w:cs="Courier New"/>
                <w:sz w:val="20"/>
              </w:rPr>
              <w:t>B - Borrowing Authority,</w:t>
            </w:r>
          </w:p>
          <w:p w14:paraId="229BD562" w14:textId="77777777" w:rsidR="00D2773E" w:rsidRDefault="00D2773E" w:rsidP="007D1659">
            <w:pPr>
              <w:pStyle w:val="PlainText"/>
              <w:rPr>
                <w:rFonts w:ascii="TimesNewRoman" w:hAnsi="TimesNewRoman" w:cs="Courier New"/>
                <w:sz w:val="20"/>
              </w:rPr>
            </w:pPr>
            <w:r>
              <w:rPr>
                <w:rFonts w:ascii="TimesNewRoman" w:hAnsi="TimesNewRoman" w:cs="Courier New"/>
                <w:sz w:val="20"/>
              </w:rPr>
              <w:t>C - Contract Authority,</w:t>
            </w:r>
          </w:p>
          <w:p w14:paraId="4F55CCD8" w14:textId="77777777" w:rsidR="00D2773E" w:rsidRDefault="00D2773E" w:rsidP="007D1659">
            <w:pPr>
              <w:pStyle w:val="PlainText"/>
              <w:rPr>
                <w:rFonts w:ascii="TimesNewRoman" w:hAnsi="TimesNewRoman" w:cs="Courier New"/>
                <w:sz w:val="20"/>
              </w:rPr>
            </w:pPr>
            <w:r>
              <w:rPr>
                <w:rFonts w:ascii="TimesNewRoman" w:hAnsi="TimesNewRoman" w:cs="Courier New"/>
                <w:sz w:val="20"/>
              </w:rPr>
              <w:t>D - Advance Appropriation,</w:t>
            </w:r>
          </w:p>
          <w:p w14:paraId="29A055CF" w14:textId="77777777" w:rsidR="00D2773E" w:rsidRDefault="00D2773E" w:rsidP="007D1659">
            <w:pPr>
              <w:pStyle w:val="PlainText"/>
              <w:rPr>
                <w:rFonts w:ascii="TimesNewRoman" w:hAnsi="TimesNewRoman" w:cs="Courier New"/>
                <w:sz w:val="20"/>
              </w:rPr>
            </w:pPr>
            <w:r>
              <w:rPr>
                <w:rFonts w:ascii="TimesNewRoman" w:hAnsi="TimesNewRoman" w:cs="Courier New"/>
                <w:sz w:val="20"/>
              </w:rPr>
              <w:t>E - Appropriation (Advance Funding) available in Prior Year,</w:t>
            </w:r>
          </w:p>
          <w:p w14:paraId="0708A9CA" w14:textId="77777777" w:rsidR="00D2773E" w:rsidRDefault="00D2773E" w:rsidP="007D1659">
            <w:pPr>
              <w:pStyle w:val="PlainText"/>
              <w:rPr>
                <w:rFonts w:ascii="TimesNewRoman" w:hAnsi="TimesNewRoman" w:cs="Courier New"/>
                <w:sz w:val="20"/>
              </w:rPr>
            </w:pPr>
            <w:r>
              <w:rPr>
                <w:rFonts w:ascii="TimesNewRoman" w:hAnsi="TimesNewRoman" w:cs="Courier New"/>
                <w:sz w:val="20"/>
              </w:rPr>
              <w:t>F - Appropriation (Advance Funding) available from Subsequent Year,</w:t>
            </w:r>
          </w:p>
          <w:p w14:paraId="726657B6" w14:textId="77777777" w:rsidR="00D2773E" w:rsidRDefault="00D2773E" w:rsidP="007D1659">
            <w:pPr>
              <w:pStyle w:val="PlainText"/>
              <w:rPr>
                <w:rFonts w:ascii="TimesNewRoman" w:hAnsi="TimesNewRoman" w:cs="Courier New"/>
                <w:sz w:val="20"/>
              </w:rPr>
            </w:pPr>
            <w:r>
              <w:rPr>
                <w:rFonts w:ascii="TimesNewRoman" w:hAnsi="TimesNewRoman" w:cs="Courier New"/>
                <w:sz w:val="20"/>
              </w:rPr>
              <w:t>P - Appropriation (excluding Advance Funding),</w:t>
            </w:r>
          </w:p>
          <w:p w14:paraId="5B3FDD32" w14:textId="77777777" w:rsidR="00D2773E" w:rsidRDefault="00D2773E" w:rsidP="007D1659">
            <w:pPr>
              <w:pStyle w:val="PlainText"/>
              <w:rPr>
                <w:rFonts w:ascii="TimesNewRoman" w:hAnsi="TimesNewRoman" w:cs="Courier New"/>
                <w:sz w:val="20"/>
              </w:rPr>
            </w:pPr>
            <w:r>
              <w:rPr>
                <w:rFonts w:ascii="TimesNewRoman" w:hAnsi="TimesNewRoman" w:cs="Courier New"/>
                <w:sz w:val="20"/>
              </w:rPr>
              <w:t xml:space="preserve">R - </w:t>
            </w:r>
            <w:proofErr w:type="spellStart"/>
            <w:r>
              <w:rPr>
                <w:rFonts w:ascii="TimesNewRoman" w:hAnsi="TimesNewRoman" w:cs="Courier New"/>
                <w:sz w:val="20"/>
              </w:rPr>
              <w:t>Reappropriation</w:t>
            </w:r>
            <w:proofErr w:type="spellEnd"/>
            <w:r>
              <w:rPr>
                <w:rFonts w:ascii="TimesNewRoman" w:hAnsi="TimesNewRoman" w:cs="Courier New"/>
                <w:sz w:val="20"/>
              </w:rPr>
              <w:t>,</w:t>
            </w:r>
          </w:p>
          <w:p w14:paraId="3C15BF93" w14:textId="77777777" w:rsidR="00D2773E" w:rsidRDefault="00D2773E" w:rsidP="007D1659">
            <w:pPr>
              <w:pStyle w:val="PlainText"/>
              <w:rPr>
                <w:rFonts w:ascii="TimesNewRoman" w:hAnsi="TimesNewRoman" w:cs="Courier New"/>
                <w:sz w:val="20"/>
              </w:rPr>
            </w:pPr>
            <w:r>
              <w:rPr>
                <w:rFonts w:ascii="TimesNewRoman" w:hAnsi="TimesNewRoman" w:cs="Courier New"/>
                <w:sz w:val="20"/>
              </w:rPr>
              <w:t>S - Spending Authority from Offsetting Collections,</w:t>
            </w:r>
          </w:p>
          <w:p w14:paraId="29634046" w14:textId="77777777" w:rsidR="00D2773E" w:rsidRPr="00D2773E" w:rsidRDefault="00D4312E" w:rsidP="007D1659">
            <w:pPr>
              <w:pStyle w:val="PlainText"/>
              <w:rPr>
                <w:rFonts w:ascii="TimesNewRoman" w:hAnsi="TimesNewRoman" w:cs="Courier New"/>
                <w:sz w:val="20"/>
              </w:rPr>
            </w:pPr>
            <w:r w:rsidRPr="00D4312E">
              <w:rPr>
                <w:rFonts w:ascii="TimesNewRoman" w:hAnsi="TimesNewRoman" w:cs="Courier New"/>
                <w:sz w:val="20"/>
                <w:highlight w:val="yellow"/>
              </w:rPr>
              <w:t>X</w:t>
            </w:r>
            <w:r w:rsidR="00D2773E" w:rsidRPr="00D4312E">
              <w:rPr>
                <w:rFonts w:ascii="TimesNewRoman" w:hAnsi="TimesNewRoman" w:cs="Courier New"/>
                <w:sz w:val="20"/>
                <w:highlight w:val="yellow"/>
              </w:rPr>
              <w:t xml:space="preserve"> - Transfer of Borrowing Authority Converted to Cash</w:t>
            </w:r>
          </w:p>
        </w:tc>
        <w:tc>
          <w:tcPr>
            <w:tcW w:w="719" w:type="dxa"/>
          </w:tcPr>
          <w:p w14:paraId="5FA5770C" w14:textId="77777777" w:rsidR="00D2773E" w:rsidRPr="00D2773E" w:rsidRDefault="00D2773E" w:rsidP="007D1659">
            <w:pPr>
              <w:pStyle w:val="PlainText"/>
              <w:rPr>
                <w:rFonts w:ascii="TimesNewRoman" w:hAnsi="TimesNewRoman" w:cs="Courier New"/>
                <w:sz w:val="20"/>
              </w:rPr>
            </w:pPr>
            <w:r w:rsidRPr="00D2773E">
              <w:rPr>
                <w:rFonts w:ascii="TimesNewRoman" w:hAnsi="TimesNewRoman" w:cs="Courier New"/>
                <w:sz w:val="20"/>
              </w:rPr>
              <w:t>1/A</w:t>
            </w:r>
          </w:p>
        </w:tc>
        <w:tc>
          <w:tcPr>
            <w:tcW w:w="1300" w:type="dxa"/>
          </w:tcPr>
          <w:p w14:paraId="69D4FB59" w14:textId="77777777" w:rsidR="00D2773E" w:rsidRPr="00D2773E" w:rsidRDefault="00D2773E" w:rsidP="007D1659">
            <w:pPr>
              <w:pStyle w:val="PlainText"/>
              <w:rPr>
                <w:rFonts w:ascii="TimesNewRoman" w:hAnsi="TimesNewRoman" w:cs="Courier New"/>
                <w:sz w:val="20"/>
              </w:rPr>
            </w:pPr>
            <w:r w:rsidRPr="00D2773E">
              <w:rPr>
                <w:rFonts w:ascii="TimesNewRoman" w:hAnsi="TimesNewRoman" w:cs="Courier New"/>
                <w:sz w:val="20"/>
              </w:rPr>
              <w:t xml:space="preserve">OMB Circ. No. A-11, </w:t>
            </w:r>
            <w:proofErr w:type="spellStart"/>
            <w:r w:rsidRPr="00D2773E">
              <w:rPr>
                <w:rFonts w:ascii="TimesNewRoman" w:hAnsi="TimesNewRoman" w:cs="Courier New"/>
                <w:sz w:val="20"/>
              </w:rPr>
              <w:t>TFM</w:t>
            </w:r>
            <w:proofErr w:type="spellEnd"/>
            <w:r w:rsidRPr="00D2773E">
              <w:rPr>
                <w:rFonts w:ascii="TimesNewRoman" w:hAnsi="TimesNewRoman" w:cs="Courier New"/>
                <w:sz w:val="20"/>
              </w:rPr>
              <w:t xml:space="preserve"> 2-4200</w:t>
            </w:r>
          </w:p>
        </w:tc>
        <w:tc>
          <w:tcPr>
            <w:tcW w:w="860" w:type="dxa"/>
          </w:tcPr>
          <w:p w14:paraId="2ABB6611" w14:textId="77777777" w:rsidR="00D2773E" w:rsidRPr="00D2773E" w:rsidRDefault="00D2773E" w:rsidP="007D1659">
            <w:pPr>
              <w:pStyle w:val="PlainText"/>
              <w:rPr>
                <w:rFonts w:ascii="TimesNewRoman" w:hAnsi="TimesNewRoman" w:cs="Courier New"/>
                <w:sz w:val="20"/>
              </w:rPr>
            </w:pPr>
            <w:r w:rsidRPr="00D2773E">
              <w:rPr>
                <w:rFonts w:ascii="TimesNewRoman" w:hAnsi="TimesNewRoman" w:cs="Courier New"/>
                <w:sz w:val="20"/>
              </w:rPr>
              <w:t>Bulk File</w:t>
            </w:r>
          </w:p>
        </w:tc>
      </w:tr>
    </w:tbl>
    <w:p w14:paraId="7299F8D4" w14:textId="77777777" w:rsidR="00DA4E84" w:rsidRPr="00D2773E" w:rsidRDefault="00DA4E84" w:rsidP="00D2773E">
      <w:pPr>
        <w:pStyle w:val="PlainText"/>
        <w:tabs>
          <w:tab w:val="left" w:pos="2160"/>
          <w:tab w:val="left" w:pos="3600"/>
          <w:tab w:val="left" w:pos="8640"/>
          <w:tab w:val="left" w:pos="11520"/>
          <w:tab w:val="left" w:pos="12240"/>
          <w:tab w:val="left" w:pos="13540"/>
        </w:tabs>
        <w:rPr>
          <w:rFonts w:ascii="TimesNewRoman" w:hAnsi="TimesNewRoman" w:cs="Courier New"/>
          <w:sz w:val="20"/>
        </w:rPr>
      </w:pPr>
      <w:bookmarkStart w:id="0" w:name="_GoBack"/>
      <w:bookmarkEnd w:id="0"/>
    </w:p>
    <w:sectPr w:rsidR="00DA4E84" w:rsidRPr="00D2773E" w:rsidSect="00B56E56">
      <w:headerReference w:type="default" r:id="rId6"/>
      <w:footerReference w:type="default" r:id="rId7"/>
      <w:pgSz w:w="15840" w:h="12240" w:orient="landscape"/>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47DD5" w14:textId="77777777" w:rsidR="002532FA" w:rsidRDefault="002532FA" w:rsidP="00403DC6">
      <w:r>
        <w:separator/>
      </w:r>
    </w:p>
  </w:endnote>
  <w:endnote w:type="continuationSeparator" w:id="0">
    <w:p w14:paraId="015C38B2" w14:textId="77777777" w:rsidR="002532FA" w:rsidRDefault="002532FA" w:rsidP="0040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14" w:type="dxa"/>
        <w:right w:w="14" w:type="dxa"/>
      </w:tblCellMar>
      <w:tblLook w:val="04A0" w:firstRow="1" w:lastRow="0" w:firstColumn="1" w:lastColumn="0" w:noHBand="0" w:noVBand="1"/>
    </w:tblPr>
    <w:tblGrid>
      <w:gridCol w:w="4305"/>
      <w:gridCol w:w="6051"/>
      <w:gridCol w:w="4044"/>
    </w:tblGrid>
    <w:tr w:rsidR="004F4A07" w:rsidRPr="00B922E1" w14:paraId="6624D950" w14:textId="77777777" w:rsidTr="00902FEE">
      <w:trPr>
        <w:trHeight w:val="252"/>
      </w:trPr>
      <w:tc>
        <w:tcPr>
          <w:tcW w:w="1495" w:type="pct"/>
          <w:shd w:val="clear" w:color="auto" w:fill="auto"/>
          <w:vAlign w:val="center"/>
        </w:tcPr>
        <w:p w14:paraId="0712A833" w14:textId="3DED682E" w:rsidR="004F4A07" w:rsidRPr="00B922E1" w:rsidRDefault="00D4312E" w:rsidP="00902FEE">
          <w:pPr>
            <w:tabs>
              <w:tab w:val="center" w:pos="1152"/>
              <w:tab w:val="center" w:pos="7920"/>
            </w:tabs>
            <w:rPr>
              <w:rFonts w:ascii="Times New Roman" w:eastAsia="Calibri" w:hAnsi="Times New Roman" w:cs="Times New Roman"/>
              <w:b/>
              <w:sz w:val="24"/>
              <w:szCs w:val="24"/>
            </w:rPr>
          </w:pPr>
          <w:r>
            <w:rPr>
              <w:rFonts w:ascii="Times New Roman" w:eastAsia="Calibri" w:hAnsi="Times New Roman" w:cs="Times New Roman"/>
              <w:b/>
              <w:sz w:val="24"/>
              <w:szCs w:val="24"/>
            </w:rPr>
            <w:t>IRC Handout</w:t>
          </w:r>
        </w:p>
      </w:tc>
      <w:tc>
        <w:tcPr>
          <w:tcW w:w="2101" w:type="pct"/>
          <w:shd w:val="clear" w:color="auto" w:fill="auto"/>
          <w:vAlign w:val="center"/>
        </w:tcPr>
        <w:p w14:paraId="71CB6BFD" w14:textId="3E7C400B" w:rsidR="004F4A07" w:rsidRPr="00B922E1" w:rsidRDefault="00D4312E" w:rsidP="00902FEE">
          <w:pPr>
            <w:tabs>
              <w:tab w:val="center" w:pos="1152"/>
              <w:tab w:val="center" w:pos="7920"/>
            </w:tabs>
            <w:jc w:val="center"/>
            <w:rPr>
              <w:rFonts w:ascii="Times New Roman" w:eastAsia="Calibri" w:hAnsi="Times New Roman" w:cs="Times New Roman"/>
              <w:b/>
              <w:sz w:val="24"/>
              <w:szCs w:val="24"/>
            </w:rPr>
          </w:pPr>
          <w:r>
            <w:rPr>
              <w:rFonts w:ascii="Arial" w:eastAsia="Calibri" w:hAnsi="Arial" w:cs="Times New Roman"/>
              <w:b/>
              <w:sz w:val="20"/>
            </w:rPr>
            <w:t>Draft</w:t>
          </w:r>
        </w:p>
      </w:tc>
      <w:tc>
        <w:tcPr>
          <w:tcW w:w="1404" w:type="pct"/>
          <w:shd w:val="clear" w:color="auto" w:fill="auto"/>
          <w:vAlign w:val="center"/>
        </w:tcPr>
        <w:p w14:paraId="23FAC358" w14:textId="23C902CD" w:rsidR="004F4A07" w:rsidRPr="00B922E1" w:rsidRDefault="00D4312E" w:rsidP="00902FEE">
          <w:pPr>
            <w:tabs>
              <w:tab w:val="center" w:pos="1152"/>
              <w:tab w:val="center" w:pos="7920"/>
            </w:tabs>
            <w:jc w:val="right"/>
            <w:rPr>
              <w:rFonts w:ascii="Times New Roman" w:eastAsia="Calibri" w:hAnsi="Times New Roman" w:cs="Times New Roman"/>
              <w:b/>
              <w:sz w:val="24"/>
              <w:szCs w:val="24"/>
            </w:rPr>
          </w:pPr>
          <w:r>
            <w:rPr>
              <w:rFonts w:ascii="Arial" w:eastAsia="Calibri" w:hAnsi="Arial" w:cs="Times New Roman"/>
              <w:b/>
              <w:sz w:val="20"/>
            </w:rPr>
            <w:t>July</w:t>
          </w:r>
          <w:r w:rsidR="00D2773E">
            <w:rPr>
              <w:rFonts w:ascii="Arial" w:eastAsia="Calibri" w:hAnsi="Arial" w:cs="Times New Roman"/>
              <w:b/>
              <w:sz w:val="20"/>
            </w:rPr>
            <w:t xml:space="preserve"> 2020</w:t>
          </w:r>
        </w:p>
      </w:tc>
    </w:tr>
  </w:tbl>
  <w:p w14:paraId="2EB1C3CE" w14:textId="77777777" w:rsidR="004F4A07" w:rsidRPr="00B922E1" w:rsidRDefault="004F4A07" w:rsidP="004F4A07">
    <w:pPr>
      <w:pStyle w:val="Footer"/>
      <w:spacing w:line="80" w:lineRule="exact"/>
      <w:rPr>
        <w:rFonts w:ascii="Arial" w:hAnsi="Arial"/>
        <w:sz w:val="16"/>
      </w:rPr>
    </w:pPr>
  </w:p>
  <w:p w14:paraId="74B18555" w14:textId="77777777" w:rsidR="00CF70C5" w:rsidRPr="004F4A07" w:rsidRDefault="00CF70C5" w:rsidP="004F4A07">
    <w:pPr>
      <w:pStyle w:val="Footer"/>
      <w:spacing w:line="60" w:lineRule="exact"/>
      <w:rPr>
        <w:rFonts w:ascii="Arial" w:hAnsi="Arial" w:cs="Arial"/>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4D7CE" w14:textId="77777777" w:rsidR="002532FA" w:rsidRDefault="002532FA" w:rsidP="00403DC6">
      <w:r>
        <w:separator/>
      </w:r>
    </w:p>
  </w:footnote>
  <w:footnote w:type="continuationSeparator" w:id="0">
    <w:p w14:paraId="1BE73F21" w14:textId="77777777" w:rsidR="002532FA" w:rsidRDefault="002532FA" w:rsidP="00403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400" w:type="dxa"/>
      <w:tblLayout w:type="fixed"/>
      <w:tblCellMar>
        <w:left w:w="29" w:type="dxa"/>
        <w:right w:w="29" w:type="dxa"/>
      </w:tblCellMar>
      <w:tblLook w:val="04A0" w:firstRow="1" w:lastRow="0" w:firstColumn="1" w:lastColumn="0" w:noHBand="0" w:noVBand="1"/>
    </w:tblPr>
    <w:tblGrid>
      <w:gridCol w:w="3801"/>
      <w:gridCol w:w="6823"/>
      <w:gridCol w:w="3776"/>
    </w:tblGrid>
    <w:tr w:rsidR="001C3A72" w:rsidRPr="00B922E1" w14:paraId="3F5BD4EA" w14:textId="77777777" w:rsidTr="00B56E56">
      <w:trPr>
        <w:trHeight w:hRule="exact" w:val="288"/>
      </w:trPr>
      <w:tc>
        <w:tcPr>
          <w:tcW w:w="1320" w:type="pct"/>
          <w:shd w:val="clear" w:color="auto" w:fill="auto"/>
          <w:vAlign w:val="center"/>
        </w:tcPr>
        <w:p w14:paraId="15560E3C" w14:textId="77777777" w:rsidR="001C3A72" w:rsidRPr="00B922E1" w:rsidRDefault="00D2773E" w:rsidP="00902FEE">
          <w:pPr>
            <w:tabs>
              <w:tab w:val="center" w:pos="1152"/>
              <w:tab w:val="center" w:pos="7920"/>
            </w:tabs>
            <w:rPr>
              <w:rFonts w:ascii="Arial" w:eastAsia="Calibri" w:hAnsi="Arial" w:cs="Arial"/>
              <w:b/>
              <w:sz w:val="20"/>
              <w:szCs w:val="20"/>
            </w:rPr>
          </w:pPr>
          <w:r>
            <w:rPr>
              <w:rFonts w:ascii="Arial" w:eastAsia="Calibri" w:hAnsi="Arial" w:cs="Arial"/>
              <w:b/>
              <w:sz w:val="20"/>
              <w:szCs w:val="20"/>
            </w:rPr>
            <w:t>Part 2</w:t>
          </w:r>
        </w:p>
      </w:tc>
      <w:tc>
        <w:tcPr>
          <w:tcW w:w="2369" w:type="pct"/>
          <w:shd w:val="clear" w:color="auto" w:fill="auto"/>
          <w:vAlign w:val="center"/>
        </w:tcPr>
        <w:p w14:paraId="216CC5DA" w14:textId="77777777" w:rsidR="001C3A72" w:rsidRPr="00B922E1" w:rsidRDefault="001C3A72" w:rsidP="00902FEE">
          <w:pPr>
            <w:tabs>
              <w:tab w:val="center" w:pos="1152"/>
              <w:tab w:val="center" w:pos="7920"/>
            </w:tabs>
            <w:rPr>
              <w:rFonts w:ascii="Arial" w:eastAsia="Calibri" w:hAnsi="Arial" w:cs="Arial"/>
              <w:b/>
              <w:sz w:val="20"/>
              <w:szCs w:val="20"/>
            </w:rPr>
          </w:pPr>
        </w:p>
      </w:tc>
      <w:tc>
        <w:tcPr>
          <w:tcW w:w="1311" w:type="pct"/>
          <w:shd w:val="clear" w:color="auto" w:fill="auto"/>
          <w:vAlign w:val="center"/>
        </w:tcPr>
        <w:p w14:paraId="64EEFC8F" w14:textId="77777777" w:rsidR="001C3A72" w:rsidRPr="00B922E1" w:rsidRDefault="00D2773E" w:rsidP="00902FEE">
          <w:pPr>
            <w:tabs>
              <w:tab w:val="center" w:pos="1152"/>
              <w:tab w:val="center" w:pos="7920"/>
            </w:tabs>
            <w:jc w:val="right"/>
            <w:rPr>
              <w:rFonts w:ascii="Arial" w:eastAsia="Calibri" w:hAnsi="Arial" w:cs="Arial"/>
              <w:b/>
              <w:sz w:val="20"/>
              <w:szCs w:val="20"/>
            </w:rPr>
          </w:pPr>
          <w:r>
            <w:rPr>
              <w:rFonts w:ascii="Arial" w:eastAsia="Calibri" w:hAnsi="Arial" w:cs="Arial"/>
              <w:b/>
              <w:sz w:val="20"/>
              <w:szCs w:val="20"/>
            </w:rPr>
            <w:t>Fiscal Year 2021 Reporting</w:t>
          </w:r>
        </w:p>
      </w:tc>
    </w:tr>
    <w:tr w:rsidR="001C3A72" w:rsidRPr="00B922E1" w14:paraId="7E2F1B25" w14:textId="77777777" w:rsidTr="00B56E56">
      <w:trPr>
        <w:trHeight w:hRule="exact" w:val="331"/>
      </w:trPr>
      <w:tc>
        <w:tcPr>
          <w:tcW w:w="1320" w:type="pct"/>
          <w:shd w:val="clear" w:color="auto" w:fill="auto"/>
          <w:vAlign w:val="bottom"/>
        </w:tcPr>
        <w:p w14:paraId="4103DC1D" w14:textId="77777777" w:rsidR="001C3A72" w:rsidRPr="00B922E1" w:rsidRDefault="00D2773E" w:rsidP="00902FEE">
          <w:pPr>
            <w:tabs>
              <w:tab w:val="center" w:pos="1152"/>
              <w:tab w:val="center" w:pos="7920"/>
            </w:tabs>
            <w:rPr>
              <w:rFonts w:ascii="Arial" w:eastAsia="Calibri" w:hAnsi="Arial" w:cs="Arial"/>
              <w:b/>
              <w:sz w:val="20"/>
              <w:szCs w:val="20"/>
            </w:rPr>
          </w:pPr>
          <w:r>
            <w:rPr>
              <w:rFonts w:ascii="Arial" w:eastAsia="Calibri" w:hAnsi="Arial" w:cs="Arial"/>
              <w:b/>
              <w:sz w:val="20"/>
              <w:szCs w:val="20"/>
            </w:rPr>
            <w:t>SUPPLEMENT</w:t>
          </w:r>
        </w:p>
      </w:tc>
      <w:tc>
        <w:tcPr>
          <w:tcW w:w="2369" w:type="pct"/>
          <w:shd w:val="clear" w:color="auto" w:fill="auto"/>
          <w:vAlign w:val="bottom"/>
        </w:tcPr>
        <w:p w14:paraId="4C202CD6" w14:textId="77777777" w:rsidR="001C3A72" w:rsidRPr="00B922E1" w:rsidRDefault="001C3A72" w:rsidP="00902FEE">
          <w:pPr>
            <w:tabs>
              <w:tab w:val="center" w:pos="1152"/>
              <w:tab w:val="center" w:pos="7920"/>
            </w:tabs>
            <w:jc w:val="center"/>
            <w:rPr>
              <w:rFonts w:ascii="Arial" w:eastAsia="Calibri" w:hAnsi="Arial" w:cs="Arial"/>
              <w:b/>
              <w:sz w:val="20"/>
              <w:szCs w:val="20"/>
            </w:rPr>
          </w:pPr>
        </w:p>
      </w:tc>
      <w:tc>
        <w:tcPr>
          <w:tcW w:w="1311" w:type="pct"/>
          <w:shd w:val="clear" w:color="auto" w:fill="auto"/>
          <w:vAlign w:val="bottom"/>
        </w:tcPr>
        <w:p w14:paraId="0964E197" w14:textId="77777777" w:rsidR="001C3A72" w:rsidRPr="00B922E1" w:rsidRDefault="00D2773E" w:rsidP="00902FEE">
          <w:pPr>
            <w:tabs>
              <w:tab w:val="center" w:pos="1152"/>
              <w:tab w:val="center" w:pos="7920"/>
            </w:tabs>
            <w:jc w:val="right"/>
            <w:rPr>
              <w:rFonts w:ascii="Arial" w:eastAsia="Calibri" w:hAnsi="Arial" w:cs="Arial"/>
              <w:b/>
              <w:sz w:val="20"/>
              <w:szCs w:val="20"/>
            </w:rPr>
          </w:pPr>
          <w:r>
            <w:rPr>
              <w:rFonts w:ascii="Arial" w:eastAsia="Calibri" w:hAnsi="Arial" w:cs="Arial"/>
              <w:b/>
              <w:sz w:val="20"/>
              <w:szCs w:val="20"/>
            </w:rPr>
            <w:t>Section IV</w:t>
          </w:r>
        </w:p>
      </w:tc>
    </w:tr>
    <w:tr w:rsidR="001C3A72" w:rsidRPr="00B922E1" w14:paraId="2E08195E" w14:textId="77777777" w:rsidTr="00B56E56">
      <w:trPr>
        <w:trHeight w:hRule="exact" w:val="288"/>
      </w:trPr>
      <w:tc>
        <w:tcPr>
          <w:tcW w:w="5000" w:type="pct"/>
          <w:gridSpan w:val="3"/>
          <w:shd w:val="clear" w:color="auto" w:fill="auto"/>
          <w:vAlign w:val="center"/>
        </w:tcPr>
        <w:p w14:paraId="70314A9B" w14:textId="77777777" w:rsidR="001C3A72" w:rsidRPr="00B922E1" w:rsidRDefault="00D2773E" w:rsidP="00902FEE">
          <w:pPr>
            <w:tabs>
              <w:tab w:val="center" w:pos="1152"/>
              <w:tab w:val="center" w:pos="7920"/>
            </w:tabs>
            <w:jc w:val="center"/>
            <w:rPr>
              <w:rFonts w:ascii="Arial" w:eastAsia="Calibri" w:hAnsi="Arial" w:cs="Arial"/>
              <w:b/>
              <w:sz w:val="20"/>
              <w:szCs w:val="20"/>
            </w:rPr>
          </w:pPr>
          <w:r>
            <w:rPr>
              <w:rFonts w:ascii="Arial" w:eastAsia="Calibri" w:hAnsi="Arial" w:cs="Arial"/>
              <w:b/>
              <w:sz w:val="20"/>
              <w:szCs w:val="20"/>
            </w:rPr>
            <w:t>U.S. Standard General Ledger - Account Attribute Definition Report</w:t>
          </w:r>
        </w:p>
      </w:tc>
    </w:tr>
  </w:tbl>
  <w:tbl>
    <w:tblPr>
      <w:tblStyle w:val="TableGrid"/>
      <w:tblW w:w="14400" w:type="dxa"/>
      <w:shd w:val="clear" w:color="auto" w:fill="EEECE1" w:themeFill="background2"/>
      <w:tblLayout w:type="fixed"/>
      <w:tblCellMar>
        <w:left w:w="29" w:type="dxa"/>
        <w:right w:w="29" w:type="dxa"/>
      </w:tblCellMar>
      <w:tblLook w:val="04A0" w:firstRow="1" w:lastRow="0" w:firstColumn="1" w:lastColumn="0" w:noHBand="0" w:noVBand="1"/>
    </w:tblPr>
    <w:tblGrid>
      <w:gridCol w:w="2161"/>
      <w:gridCol w:w="1440"/>
      <w:gridCol w:w="5042"/>
      <w:gridCol w:w="2881"/>
      <w:gridCol w:w="721"/>
      <w:gridCol w:w="1293"/>
      <w:gridCol w:w="862"/>
    </w:tblGrid>
    <w:tr w:rsidR="00CF70C5" w:rsidRPr="003C088B" w14:paraId="77523FF2" w14:textId="77777777" w:rsidTr="00733544">
      <w:trPr>
        <w:trHeight w:val="541"/>
      </w:trPr>
      <w:tc>
        <w:tcPr>
          <w:tcW w:w="2165" w:type="dxa"/>
          <w:shd w:val="clear" w:color="auto" w:fill="EEECE1" w:themeFill="background2"/>
          <w:vAlign w:val="center"/>
        </w:tcPr>
        <w:p w14:paraId="07C1E4C6"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Attribute Name</w:t>
          </w:r>
        </w:p>
      </w:tc>
      <w:tc>
        <w:tcPr>
          <w:tcW w:w="1443" w:type="dxa"/>
          <w:shd w:val="clear" w:color="auto" w:fill="EEECE1" w:themeFill="background2"/>
          <w:vAlign w:val="center"/>
        </w:tcPr>
        <w:p w14:paraId="34722731"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Short</w:t>
          </w:r>
        </w:p>
        <w:p w14:paraId="1A566389"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Name</w:t>
          </w:r>
        </w:p>
      </w:tc>
      <w:tc>
        <w:tcPr>
          <w:tcW w:w="5052" w:type="dxa"/>
          <w:shd w:val="clear" w:color="auto" w:fill="EEECE1" w:themeFill="background2"/>
          <w:vAlign w:val="center"/>
        </w:tcPr>
        <w:p w14:paraId="7F354559"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Attribute Definition</w:t>
          </w:r>
        </w:p>
      </w:tc>
      <w:tc>
        <w:tcPr>
          <w:tcW w:w="2887" w:type="dxa"/>
          <w:shd w:val="clear" w:color="auto" w:fill="EEECE1" w:themeFill="background2"/>
          <w:vAlign w:val="center"/>
        </w:tcPr>
        <w:p w14:paraId="39B26B95"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Domain</w:t>
          </w:r>
        </w:p>
      </w:tc>
      <w:tc>
        <w:tcPr>
          <w:tcW w:w="722" w:type="dxa"/>
          <w:shd w:val="clear" w:color="auto" w:fill="EEECE1" w:themeFill="background2"/>
          <w:vAlign w:val="center"/>
        </w:tcPr>
        <w:p w14:paraId="0CD5FD89"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Syst</w:t>
          </w:r>
          <w:r>
            <w:rPr>
              <w:rFonts w:ascii="Times New Roman" w:hAnsi="Times New Roman" w:cs="Times New Roman"/>
              <w:b/>
              <w:sz w:val="20"/>
              <w:szCs w:val="20"/>
            </w:rPr>
            <w:t>em</w:t>
          </w:r>
        </w:p>
        <w:p w14:paraId="086C3269"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Chars</w:t>
          </w:r>
        </w:p>
      </w:tc>
      <w:tc>
        <w:tcPr>
          <w:tcW w:w="1296" w:type="dxa"/>
          <w:shd w:val="clear" w:color="auto" w:fill="EEECE1" w:themeFill="background2"/>
          <w:vAlign w:val="center"/>
        </w:tcPr>
        <w:p w14:paraId="39D69E1E"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Reference</w:t>
          </w:r>
        </w:p>
      </w:tc>
      <w:tc>
        <w:tcPr>
          <w:tcW w:w="864" w:type="dxa"/>
          <w:shd w:val="clear" w:color="auto" w:fill="EEECE1" w:themeFill="background2"/>
          <w:vAlign w:val="center"/>
        </w:tcPr>
        <w:p w14:paraId="797CB2AC"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Supplied</w:t>
          </w:r>
        </w:p>
        <w:p w14:paraId="3FDF5F27" w14:textId="77777777"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By</w:t>
          </w:r>
        </w:p>
      </w:tc>
    </w:tr>
  </w:tbl>
  <w:p w14:paraId="296C0C85" w14:textId="77777777" w:rsidR="00CF70C5" w:rsidRDefault="00CF70C5" w:rsidP="008425B9">
    <w:pPr>
      <w:pStyle w:val="Header"/>
      <w:tabs>
        <w:tab w:val="clear" w:pos="4680"/>
        <w:tab w:val="right" w:pos="2160"/>
        <w:tab w:val="right" w:pos="3456"/>
        <w:tab w:val="right" w:pos="11520"/>
        <w:tab w:val="right" w:pos="12672"/>
        <w:tab w:val="right" w:pos="13536"/>
      </w:tabs>
      <w:spacing w:line="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6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71"/>
    <w:rsid w:val="00041CA6"/>
    <w:rsid w:val="00042790"/>
    <w:rsid w:val="0008795A"/>
    <w:rsid w:val="00142BF7"/>
    <w:rsid w:val="00185D90"/>
    <w:rsid w:val="00187FFA"/>
    <w:rsid w:val="001B1379"/>
    <w:rsid w:val="001C3A72"/>
    <w:rsid w:val="00205BBC"/>
    <w:rsid w:val="002532FA"/>
    <w:rsid w:val="00393D1A"/>
    <w:rsid w:val="003C088B"/>
    <w:rsid w:val="003E58BF"/>
    <w:rsid w:val="003F084C"/>
    <w:rsid w:val="00403DC6"/>
    <w:rsid w:val="0044768A"/>
    <w:rsid w:val="00452820"/>
    <w:rsid w:val="0046428D"/>
    <w:rsid w:val="004872A9"/>
    <w:rsid w:val="004F4A07"/>
    <w:rsid w:val="0052482A"/>
    <w:rsid w:val="00534202"/>
    <w:rsid w:val="00537B55"/>
    <w:rsid w:val="0055598D"/>
    <w:rsid w:val="005F6FB3"/>
    <w:rsid w:val="00615872"/>
    <w:rsid w:val="00621847"/>
    <w:rsid w:val="00697CFD"/>
    <w:rsid w:val="006B5C9D"/>
    <w:rsid w:val="006D4F9F"/>
    <w:rsid w:val="00733544"/>
    <w:rsid w:val="007446E3"/>
    <w:rsid w:val="00753F71"/>
    <w:rsid w:val="007A021F"/>
    <w:rsid w:val="007D4E2A"/>
    <w:rsid w:val="008425B9"/>
    <w:rsid w:val="008F6EA2"/>
    <w:rsid w:val="00902184"/>
    <w:rsid w:val="009711B0"/>
    <w:rsid w:val="009848D4"/>
    <w:rsid w:val="00A048F7"/>
    <w:rsid w:val="00A352CB"/>
    <w:rsid w:val="00A80AF6"/>
    <w:rsid w:val="00A9790A"/>
    <w:rsid w:val="00AA7A11"/>
    <w:rsid w:val="00AC4FCF"/>
    <w:rsid w:val="00B13010"/>
    <w:rsid w:val="00B16E7C"/>
    <w:rsid w:val="00B56E56"/>
    <w:rsid w:val="00BA2DE1"/>
    <w:rsid w:val="00BC031E"/>
    <w:rsid w:val="00C740D2"/>
    <w:rsid w:val="00CF1BBE"/>
    <w:rsid w:val="00CF70C5"/>
    <w:rsid w:val="00D2773E"/>
    <w:rsid w:val="00D4312E"/>
    <w:rsid w:val="00DA4E84"/>
    <w:rsid w:val="00DF6F20"/>
    <w:rsid w:val="00E0124C"/>
    <w:rsid w:val="00E53EE0"/>
    <w:rsid w:val="00E76A38"/>
    <w:rsid w:val="00E87017"/>
    <w:rsid w:val="00EA470D"/>
    <w:rsid w:val="00EE749D"/>
    <w:rsid w:val="00FF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013846"/>
  <w15:docId w15:val="{76C6B3B0-8F23-4217-9A81-8DA18C36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DC6"/>
    <w:pPr>
      <w:tabs>
        <w:tab w:val="center" w:pos="4680"/>
        <w:tab w:val="right" w:pos="9360"/>
      </w:tabs>
    </w:pPr>
  </w:style>
  <w:style w:type="character" w:customStyle="1" w:styleId="HeaderChar">
    <w:name w:val="Header Char"/>
    <w:basedOn w:val="DefaultParagraphFont"/>
    <w:link w:val="Header"/>
    <w:uiPriority w:val="99"/>
    <w:rsid w:val="00403DC6"/>
  </w:style>
  <w:style w:type="paragraph" w:styleId="Footer">
    <w:name w:val="footer"/>
    <w:basedOn w:val="Normal"/>
    <w:link w:val="FooterChar"/>
    <w:uiPriority w:val="99"/>
    <w:unhideWhenUsed/>
    <w:rsid w:val="00403DC6"/>
    <w:pPr>
      <w:tabs>
        <w:tab w:val="center" w:pos="4680"/>
        <w:tab w:val="right" w:pos="9360"/>
      </w:tabs>
    </w:pPr>
  </w:style>
  <w:style w:type="character" w:customStyle="1" w:styleId="FooterChar">
    <w:name w:val="Footer Char"/>
    <w:basedOn w:val="DefaultParagraphFont"/>
    <w:link w:val="Footer"/>
    <w:uiPriority w:val="99"/>
    <w:rsid w:val="00403DC6"/>
  </w:style>
  <w:style w:type="table" w:styleId="TableGrid">
    <w:name w:val="Table Grid"/>
    <w:basedOn w:val="TableNormal"/>
    <w:uiPriority w:val="59"/>
    <w:rsid w:val="00403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58BF"/>
    <w:rPr>
      <w:rFonts w:ascii="Tahoma" w:hAnsi="Tahoma" w:cs="Tahoma"/>
      <w:sz w:val="16"/>
      <w:szCs w:val="16"/>
    </w:rPr>
  </w:style>
  <w:style w:type="character" w:customStyle="1" w:styleId="BalloonTextChar">
    <w:name w:val="Balloon Text Char"/>
    <w:basedOn w:val="DefaultParagraphFont"/>
    <w:link w:val="BalloonText"/>
    <w:uiPriority w:val="99"/>
    <w:semiHidden/>
    <w:rsid w:val="003E58BF"/>
    <w:rPr>
      <w:rFonts w:ascii="Tahoma" w:hAnsi="Tahoma" w:cs="Tahoma"/>
      <w:sz w:val="16"/>
      <w:szCs w:val="16"/>
    </w:rPr>
  </w:style>
  <w:style w:type="paragraph" w:styleId="PlainText">
    <w:name w:val="Plain Text"/>
    <w:basedOn w:val="Normal"/>
    <w:link w:val="PlainTextChar"/>
    <w:uiPriority w:val="99"/>
    <w:unhideWhenUsed/>
    <w:rsid w:val="00CF70C5"/>
    <w:rPr>
      <w:rFonts w:ascii="Consolas" w:hAnsi="Consolas"/>
      <w:sz w:val="21"/>
      <w:szCs w:val="21"/>
    </w:rPr>
  </w:style>
  <w:style w:type="character" w:customStyle="1" w:styleId="PlainTextChar">
    <w:name w:val="Plain Text Char"/>
    <w:basedOn w:val="DefaultParagraphFont"/>
    <w:link w:val="PlainText"/>
    <w:uiPriority w:val="99"/>
    <w:rsid w:val="00CF70C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Dept. of the Treasury, FMS</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 Bement</dc:creator>
  <cp:lastModifiedBy>David K. Linscott II</cp:lastModifiedBy>
  <cp:revision>2</cp:revision>
  <dcterms:created xsi:type="dcterms:W3CDTF">2020-07-10T12:47:00Z</dcterms:created>
  <dcterms:modified xsi:type="dcterms:W3CDTF">2020-07-10T12:47:00Z</dcterms:modified>
  <cp:contentStatus/>
</cp:coreProperties>
</file>