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168867B0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</w:t>
      </w:r>
      <w:r w:rsidR="00BA52B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EC2E49">
        <w:rPr>
          <w:rFonts w:ascii="Times New Roman" w:hAnsi="Times New Roman" w:cs="Times New Roman"/>
          <w:b/>
          <w:bCs/>
          <w:sz w:val="28"/>
          <w:szCs w:val="28"/>
          <w:u w:val="single"/>
        </w:rPr>
        <w:t>/2</w:t>
      </w:r>
      <w:r w:rsidR="00BA52B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12AF91D" w14:textId="77777777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  <w:r w:rsidR="00703A4E">
              <w:t xml:space="preserve"> (Previous Name)</w:t>
            </w:r>
          </w:p>
          <w:p w14:paraId="3C865AF3" w14:textId="77777777" w:rsidR="00703A4E" w:rsidRDefault="00703A4E" w:rsidP="009C7478">
            <w:pPr>
              <w:autoSpaceDE w:val="0"/>
              <w:autoSpaceDN w:val="0"/>
              <w:adjustRightInd w:val="0"/>
            </w:pPr>
          </w:p>
          <w:p w14:paraId="5D0E2594" w14:textId="2A5D8ABE" w:rsidR="00703A4E" w:rsidRDefault="00703A4E" w:rsidP="009C7478">
            <w:pPr>
              <w:autoSpaceDE w:val="0"/>
              <w:autoSpaceDN w:val="0"/>
              <w:adjustRightInd w:val="0"/>
            </w:pPr>
            <w:r>
              <w:t>Non</w:t>
            </w:r>
            <w:r w:rsidR="00A8052A">
              <w:t>-</w:t>
            </w:r>
            <w:r>
              <w:t>Expenditure Transfers (New Name)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28AF2EE7" w:rsidR="007118E1" w:rsidRDefault="00CD05A0" w:rsidP="009C7478">
            <w:pPr>
              <w:autoSpaceDE w:val="0"/>
              <w:autoSpaceDN w:val="0"/>
              <w:adjustRightInd w:val="0"/>
            </w:pPr>
            <w:r>
              <w:t>December 2024</w:t>
            </w:r>
          </w:p>
        </w:tc>
        <w:tc>
          <w:tcPr>
            <w:tcW w:w="4148" w:type="dxa"/>
          </w:tcPr>
          <w:p w14:paraId="7344D2AE" w14:textId="0D4375CF" w:rsidR="007118E1" w:rsidRDefault="00A8052A" w:rsidP="009C7478">
            <w:pPr>
              <w:autoSpaceDE w:val="0"/>
              <w:autoSpaceDN w:val="0"/>
              <w:adjustRightInd w:val="0"/>
            </w:pPr>
            <w:r>
              <w:t>Fiscal Service and OMB have been having regular meetings</w:t>
            </w:r>
            <w:r w:rsidR="007118E1">
              <w:t>.</w:t>
            </w:r>
            <w:r w:rsidR="00EE103A">
              <w:t xml:space="preserve">  </w:t>
            </w:r>
            <w:r>
              <w:t xml:space="preserve">When finalized this will be a </w:t>
            </w:r>
            <w:r w:rsidR="00CD05A0">
              <w:t>6</w:t>
            </w:r>
            <w:r>
              <w:t xml:space="preserve">-part scenario with several subsections.  </w:t>
            </w:r>
            <w:r w:rsidR="00CD05A0">
              <w:t>The latest version was sent on 09/26/24 and the comment period ended on 10/17/2024.  We are currently working through comments and making updates as necessary.</w:t>
            </w:r>
          </w:p>
        </w:tc>
      </w:tr>
      <w:tr w:rsidR="00B26355" w14:paraId="3F087A4A" w14:textId="77777777" w:rsidTr="007B4D1B">
        <w:tc>
          <w:tcPr>
            <w:tcW w:w="2709" w:type="dxa"/>
          </w:tcPr>
          <w:p w14:paraId="1EB31E9D" w14:textId="56981B3C" w:rsidR="00B26355" w:rsidRDefault="00CD05A0" w:rsidP="00B26355">
            <w:pPr>
              <w:autoSpaceDE w:val="0"/>
              <w:autoSpaceDN w:val="0"/>
              <w:adjustRightInd w:val="0"/>
            </w:pPr>
            <w:r>
              <w:t>Economy Act</w:t>
            </w:r>
          </w:p>
        </w:tc>
        <w:tc>
          <w:tcPr>
            <w:tcW w:w="1853" w:type="dxa"/>
          </w:tcPr>
          <w:p w14:paraId="58AA39B0" w14:textId="68D04B3A" w:rsidR="00B26355" w:rsidRDefault="00CD05A0" w:rsidP="00B26355">
            <w:pPr>
              <w:autoSpaceDE w:val="0"/>
              <w:autoSpaceDN w:val="0"/>
              <w:adjustRightInd w:val="0"/>
            </w:pPr>
            <w:r>
              <w:t>2002</w:t>
            </w:r>
          </w:p>
        </w:tc>
        <w:tc>
          <w:tcPr>
            <w:tcW w:w="2180" w:type="dxa"/>
          </w:tcPr>
          <w:p w14:paraId="1573E7D0" w14:textId="3C8D595B" w:rsidR="00B26355" w:rsidRDefault="00CD05A0" w:rsidP="00B26355">
            <w:pPr>
              <w:autoSpaceDE w:val="0"/>
              <w:autoSpaceDN w:val="0"/>
              <w:adjustRightInd w:val="0"/>
            </w:pPr>
            <w:r>
              <w:t>December 2024</w:t>
            </w:r>
          </w:p>
        </w:tc>
        <w:tc>
          <w:tcPr>
            <w:tcW w:w="4148" w:type="dxa"/>
          </w:tcPr>
          <w:p w14:paraId="1A90C5FF" w14:textId="678F371C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</w:t>
            </w:r>
            <w:r w:rsidR="00CD05A0">
              <w:t xml:space="preserve">Recently have been made aware that the Economy Act Scenario </w:t>
            </w:r>
            <w:r w:rsidR="00BA52B4">
              <w:t xml:space="preserve">and transaction code F312 </w:t>
            </w:r>
            <w:r w:rsidR="00CE1D68">
              <w:t>are</w:t>
            </w:r>
            <w:r w:rsidR="00BA52B4">
              <w:t xml:space="preserve"> not properly aligned with GTAS edit 209 (ending unobligated balance in expiring TAS for reimbursable activities must be zero for period 12 reporting).</w:t>
            </w:r>
          </w:p>
        </w:tc>
      </w:tr>
      <w:tr w:rsidR="0058286E" w14:paraId="6426897D" w14:textId="77777777" w:rsidTr="007B4D1B">
        <w:tc>
          <w:tcPr>
            <w:tcW w:w="2709" w:type="dxa"/>
          </w:tcPr>
          <w:p w14:paraId="03B4F040" w14:textId="774CC426" w:rsidR="0058286E" w:rsidRDefault="0058286E" w:rsidP="00B26355">
            <w:pPr>
              <w:autoSpaceDE w:val="0"/>
              <w:autoSpaceDN w:val="0"/>
              <w:adjustRightInd w:val="0"/>
            </w:pPr>
            <w:r>
              <w:t>Rescissions/Reductions Scenario</w:t>
            </w:r>
          </w:p>
        </w:tc>
        <w:tc>
          <w:tcPr>
            <w:tcW w:w="1853" w:type="dxa"/>
          </w:tcPr>
          <w:p w14:paraId="4F716C0A" w14:textId="7D7D1F36" w:rsidR="0058286E" w:rsidRDefault="0058286E" w:rsidP="00B26355">
            <w:pPr>
              <w:autoSpaceDE w:val="0"/>
              <w:autoSpaceDN w:val="0"/>
              <w:adjustRightInd w:val="0"/>
            </w:pPr>
            <w:r>
              <w:t xml:space="preserve">Various scenarios exist currently.  </w:t>
            </w:r>
          </w:p>
        </w:tc>
        <w:tc>
          <w:tcPr>
            <w:tcW w:w="2180" w:type="dxa"/>
          </w:tcPr>
          <w:p w14:paraId="4D4A9C97" w14:textId="2A9604E9" w:rsidR="0058286E" w:rsidRDefault="00BA52B4" w:rsidP="00B26355">
            <w:pPr>
              <w:autoSpaceDE w:val="0"/>
              <w:autoSpaceDN w:val="0"/>
              <w:adjustRightInd w:val="0"/>
            </w:pPr>
            <w:r>
              <w:t>March 2025</w:t>
            </w:r>
          </w:p>
        </w:tc>
        <w:tc>
          <w:tcPr>
            <w:tcW w:w="4148" w:type="dxa"/>
          </w:tcPr>
          <w:p w14:paraId="42662858" w14:textId="1D4FA79A" w:rsidR="0058286E" w:rsidRDefault="00CE1D68" w:rsidP="00B26355">
            <w:pPr>
              <w:autoSpaceDE w:val="0"/>
              <w:autoSpaceDN w:val="0"/>
              <w:adjustRightInd w:val="0"/>
            </w:pPr>
            <w:r>
              <w:t>Scenario updates are approximately 30% complete.</w:t>
            </w:r>
          </w:p>
        </w:tc>
      </w:tr>
    </w:tbl>
    <w:p w14:paraId="04FDE5F9" w14:textId="3241BD2D" w:rsidR="00381CE8" w:rsidRDefault="00381CE8" w:rsidP="005570DB">
      <w:pPr>
        <w:autoSpaceDE w:val="0"/>
        <w:autoSpaceDN w:val="0"/>
        <w:adjustRightInd w:val="0"/>
        <w:spacing w:after="0" w:line="240" w:lineRule="auto"/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F9B216" w14:textId="08C2553D" w:rsidR="003B0929" w:rsidRDefault="003B0929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Rollover of the TFM &amp; GTAS Timeline</w:t>
      </w:r>
    </w:p>
    <w:p w14:paraId="2926411B" w14:textId="1B386083" w:rsidR="00CE1D68" w:rsidRDefault="00CE1D68" w:rsidP="00CE1D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11/</w:t>
      </w:r>
      <w:r>
        <w:t>21</w:t>
      </w:r>
      <w:r>
        <w:t>/202</w:t>
      </w:r>
      <w:r>
        <w:t>4</w:t>
      </w:r>
      <w:r>
        <w:t xml:space="preserve"> – GTAS system rollover (Part I will now be FY 202</w:t>
      </w:r>
      <w:r>
        <w:t>5</w:t>
      </w:r>
      <w:r>
        <w:t xml:space="preserve"> &amp; Part II will no</w:t>
      </w:r>
      <w:r w:rsidR="00AC4873">
        <w:t>w</w:t>
      </w:r>
      <w:r>
        <w:t xml:space="preserve"> be FY 202</w:t>
      </w:r>
      <w:r>
        <w:t>6</w:t>
      </w:r>
      <w:r>
        <w:t xml:space="preserve">) </w:t>
      </w:r>
    </w:p>
    <w:p w14:paraId="36388B56" w14:textId="58A35267" w:rsidR="00CE1D68" w:rsidRDefault="00CE1D68" w:rsidP="005300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C0BDE">
        <w:t>1</w:t>
      </w:r>
      <w:r w:rsidR="000C62AA">
        <w:t>2</w:t>
      </w:r>
      <w:r w:rsidRPr="000C0BDE">
        <w:t>/</w:t>
      </w:r>
      <w:r w:rsidR="000C62AA">
        <w:t>02</w:t>
      </w:r>
      <w:r w:rsidRPr="000C0BDE">
        <w:t>/202</w:t>
      </w:r>
      <w:r w:rsidR="000C62AA">
        <w:t>4</w:t>
      </w:r>
      <w:r>
        <w:t xml:space="preserve"> – FY 202</w:t>
      </w:r>
      <w:r w:rsidR="000C62AA">
        <w:t>4</w:t>
      </w:r>
      <w:r>
        <w:t xml:space="preserve"> GTAS Material Difference Reporting (MDR) Window closes.</w:t>
      </w:r>
    </w:p>
    <w:p w14:paraId="694AB603" w14:textId="79986914" w:rsidR="00775B3C" w:rsidRPr="000C0BDE" w:rsidRDefault="00775B3C" w:rsidP="005300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12/03/2024 – GTAS system publish (This publish is mostly to ensure FY 2026 is accurate after the rollover</w:t>
      </w:r>
      <w:r w:rsidR="00AC4873">
        <w:t xml:space="preserve"> publish</w:t>
      </w:r>
      <w:r>
        <w:t>, but we can also catch any late breaking updates to FY 2025.)</w:t>
      </w:r>
    </w:p>
    <w:p w14:paraId="22D480BF" w14:textId="7496941A" w:rsidR="00B72D9C" w:rsidRDefault="00B72D9C" w:rsidP="003B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12/</w:t>
      </w:r>
      <w:r w:rsidR="000C62AA">
        <w:t>5</w:t>
      </w:r>
      <w:r>
        <w:t>/202</w:t>
      </w:r>
      <w:r w:rsidR="000C62AA">
        <w:t>4</w:t>
      </w:r>
      <w:r>
        <w:t xml:space="preserve"> – GTAS reporting window for November opens.</w:t>
      </w:r>
    </w:p>
    <w:p w14:paraId="076D31F4" w14:textId="1C4BF91B" w:rsidR="000C0BDE" w:rsidRDefault="00084578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12/1</w:t>
      </w:r>
      <w:r w:rsidR="000C62AA">
        <w:t>2</w:t>
      </w:r>
      <w:r>
        <w:t>/202</w:t>
      </w:r>
      <w:r w:rsidR="000C62AA">
        <w:t>4</w:t>
      </w:r>
      <w:r>
        <w:t xml:space="preserve"> – TFM Bulletin Publis</w:t>
      </w:r>
      <w:r w:rsidR="000C0BDE">
        <w:t>h</w:t>
      </w:r>
      <w:r>
        <w:t xml:space="preserve"> – Bulletin # 202</w:t>
      </w:r>
      <w:r w:rsidR="000C62AA">
        <w:t>5</w:t>
      </w:r>
      <w:r>
        <w:t>-0</w:t>
      </w:r>
      <w:r w:rsidR="000C62AA">
        <w:t>2</w:t>
      </w:r>
      <w:r>
        <w:t xml:space="preserve">.  </w:t>
      </w:r>
    </w:p>
    <w:p w14:paraId="0BF81D4B" w14:textId="198B1A14" w:rsidR="000C0BDE" w:rsidRPr="005300C6" w:rsidRDefault="000C0BDE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color w:val="auto"/>
          <w:u w:val="none"/>
        </w:rPr>
      </w:pPr>
      <w:r>
        <w:t>Final FY 202</w:t>
      </w:r>
      <w:r w:rsidR="00120EB5">
        <w:t>4</w:t>
      </w:r>
      <w:r>
        <w:t xml:space="preserve"> crosswalks</w:t>
      </w:r>
      <w:r w:rsidR="00120EB5">
        <w:t xml:space="preserve"> (coming soon)</w:t>
      </w:r>
      <w:r>
        <w:t xml:space="preserve">: </w:t>
      </w:r>
      <w:hyperlink r:id="rId8" w:history="1">
        <w:r>
          <w:rPr>
            <w:rStyle w:val="Hyperlink"/>
          </w:rPr>
          <w:t>The U.S. Standard Genera</w:t>
        </w:r>
        <w:r>
          <w:rPr>
            <w:rStyle w:val="Hyperlink"/>
          </w:rPr>
          <w:t>l</w:t>
        </w:r>
        <w:r>
          <w:rPr>
            <w:rStyle w:val="Hyperlink"/>
          </w:rPr>
          <w:t xml:space="preserve"> Ledger - Archives - Treasury Financial Manual</w:t>
        </w:r>
      </w:hyperlink>
    </w:p>
    <w:p w14:paraId="2EBBFA28" w14:textId="0C9D252B" w:rsidR="005300C6" w:rsidRPr="005300C6" w:rsidRDefault="005300C6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color w:val="auto"/>
          <w:u w:val="none"/>
        </w:rPr>
      </w:pPr>
      <w:hyperlink r:id="rId9" w:history="1">
        <w:r w:rsidRPr="005300C6">
          <w:rPr>
            <w:rStyle w:val="Hyperlink"/>
          </w:rPr>
          <w:t>TFM Bulletin No. 2024-05 (YE Bu</w:t>
        </w:r>
        <w:r w:rsidRPr="005300C6">
          <w:rPr>
            <w:rStyle w:val="Hyperlink"/>
          </w:rPr>
          <w:t>l</w:t>
        </w:r>
        <w:r w:rsidRPr="005300C6">
          <w:rPr>
            <w:rStyle w:val="Hyperlink"/>
          </w:rPr>
          <w:t>letin</w:t>
        </w:r>
      </w:hyperlink>
      <w:r>
        <w:rPr>
          <w:rStyle w:val="Hyperlink"/>
        </w:rPr>
        <w:t>)</w:t>
      </w:r>
    </w:p>
    <w:p w14:paraId="5AE77638" w14:textId="7E66C18A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11/29/24 – CFO Representation for Intragovernmental Activity and Balances.</w:t>
      </w:r>
    </w:p>
    <w:p w14:paraId="160ECA91" w14:textId="261FF419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12/2/24 - All Year-end MDRs must be certified in GTAS.</w:t>
      </w:r>
    </w:p>
    <w:p w14:paraId="3FD76320" w14:textId="36F07233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12/4 – 12/6</w:t>
      </w:r>
      <w:r w:rsidR="00AC4873">
        <w:t>/</w:t>
      </w:r>
      <w:r>
        <w:t>24 - Federal Entity’s Financial Report review period.</w:t>
      </w:r>
    </w:p>
    <w:p w14:paraId="72665523" w14:textId="71723709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12/20/24 – Significant Entity IGs must provide Fiscal Service info related to subsequent events.</w:t>
      </w:r>
    </w:p>
    <w:p w14:paraId="7FE1AB8B" w14:textId="15A1D5AF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1/7/25 – Significant entity CFOs must provide Fiscal Service any subsequent events that affected their financial statements and any additions/edits to management rep letters.</w:t>
      </w:r>
    </w:p>
    <w:p w14:paraId="20F4376C" w14:textId="570AEB7E" w:rsidR="005300C6" w:rsidRDefault="005300C6" w:rsidP="005300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1/16/25 – Expected release of Financial Report of the U.S.</w:t>
      </w:r>
      <w:r w:rsidR="00775B3C">
        <w:t xml:space="preserve"> </w:t>
      </w:r>
      <w:r>
        <w:t>Government.</w:t>
      </w:r>
    </w:p>
    <w:p w14:paraId="759E3A07" w14:textId="47448B43" w:rsidR="00084578" w:rsidRPr="009C7478" w:rsidRDefault="00084578" w:rsidP="00084578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084578" w:rsidRPr="009C7478" w:rsidSect="007D4D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45A3" w14:textId="77777777" w:rsidR="00CD05A0" w:rsidRDefault="00CD0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6A4CF5A3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58286E">
              <w:rPr>
                <w:b/>
                <w:bCs/>
              </w:rPr>
              <w:t>11</w:t>
            </w:r>
            <w:r w:rsidRPr="00745D48">
              <w:rPr>
                <w:b/>
                <w:bCs/>
              </w:rPr>
              <w:t>/</w:t>
            </w:r>
            <w:r w:rsidR="00EF049F">
              <w:rPr>
                <w:b/>
                <w:bCs/>
              </w:rPr>
              <w:t>2</w:t>
            </w:r>
            <w:r w:rsidR="00CD05A0">
              <w:rPr>
                <w:b/>
                <w:bCs/>
              </w:rPr>
              <w:t>0</w:t>
            </w:r>
            <w:r w:rsidRPr="00745D48">
              <w:rPr>
                <w:b/>
                <w:bCs/>
              </w:rPr>
              <w:t>/202</w:t>
            </w:r>
            <w:r w:rsidR="00CD05A0">
              <w:rPr>
                <w:b/>
                <w:bCs/>
              </w:rPr>
              <w:t>4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138" w14:textId="77777777" w:rsidR="00CD05A0" w:rsidRDefault="00CD0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4E30" w14:textId="77777777" w:rsidR="00CD05A0" w:rsidRDefault="00CD0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432197"/>
      <w:docPartObj>
        <w:docPartGallery w:val="Watermarks"/>
        <w:docPartUnique/>
      </w:docPartObj>
    </w:sdtPr>
    <w:sdtContent>
      <w:p w14:paraId="3864E844" w14:textId="4EEE93A1" w:rsidR="00CD05A0" w:rsidRDefault="00CD05A0">
        <w:pPr>
          <w:pStyle w:val="Header"/>
        </w:pPr>
        <w:r>
          <w:rPr>
            <w:noProof/>
          </w:rPr>
          <w:pict w14:anchorId="3C456E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6EA9" w14:textId="77777777" w:rsidR="00CD05A0" w:rsidRDefault="00CD0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0C62AA"/>
    <w:rsid w:val="00120EB5"/>
    <w:rsid w:val="001C3B89"/>
    <w:rsid w:val="001D2FAF"/>
    <w:rsid w:val="001F5408"/>
    <w:rsid w:val="00261747"/>
    <w:rsid w:val="002B00EE"/>
    <w:rsid w:val="002B301B"/>
    <w:rsid w:val="00343BB0"/>
    <w:rsid w:val="00381CE8"/>
    <w:rsid w:val="00383A13"/>
    <w:rsid w:val="003A759C"/>
    <w:rsid w:val="003B0929"/>
    <w:rsid w:val="003B675E"/>
    <w:rsid w:val="003B7826"/>
    <w:rsid w:val="003C711F"/>
    <w:rsid w:val="003E7E5B"/>
    <w:rsid w:val="004B131E"/>
    <w:rsid w:val="00522642"/>
    <w:rsid w:val="005300C6"/>
    <w:rsid w:val="005570DB"/>
    <w:rsid w:val="0058286E"/>
    <w:rsid w:val="0061370D"/>
    <w:rsid w:val="006F1984"/>
    <w:rsid w:val="006F6AB0"/>
    <w:rsid w:val="00703A4E"/>
    <w:rsid w:val="007118E1"/>
    <w:rsid w:val="00736D24"/>
    <w:rsid w:val="00745D48"/>
    <w:rsid w:val="007673FB"/>
    <w:rsid w:val="00775B3C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43F75"/>
    <w:rsid w:val="00A8052A"/>
    <w:rsid w:val="00A87B86"/>
    <w:rsid w:val="00A90A83"/>
    <w:rsid w:val="00A958C2"/>
    <w:rsid w:val="00AC44E3"/>
    <w:rsid w:val="00AC4873"/>
    <w:rsid w:val="00AE75F2"/>
    <w:rsid w:val="00B26355"/>
    <w:rsid w:val="00B473DD"/>
    <w:rsid w:val="00B55DE8"/>
    <w:rsid w:val="00B72D9C"/>
    <w:rsid w:val="00BA52B4"/>
    <w:rsid w:val="00BA7024"/>
    <w:rsid w:val="00BB25CF"/>
    <w:rsid w:val="00BC7F64"/>
    <w:rsid w:val="00BD4184"/>
    <w:rsid w:val="00C11201"/>
    <w:rsid w:val="00C174FB"/>
    <w:rsid w:val="00C331BD"/>
    <w:rsid w:val="00C4296E"/>
    <w:rsid w:val="00C92C7F"/>
    <w:rsid w:val="00CA340E"/>
    <w:rsid w:val="00CD05A0"/>
    <w:rsid w:val="00CD29FA"/>
    <w:rsid w:val="00CE1D68"/>
    <w:rsid w:val="00CE6A65"/>
    <w:rsid w:val="00D33FDC"/>
    <w:rsid w:val="00D67A15"/>
    <w:rsid w:val="00D96246"/>
    <w:rsid w:val="00DB3752"/>
    <w:rsid w:val="00DD2FB4"/>
    <w:rsid w:val="00DD6FAB"/>
    <w:rsid w:val="00DE504A"/>
    <w:rsid w:val="00E36D30"/>
    <w:rsid w:val="00E845AE"/>
    <w:rsid w:val="00E90FAD"/>
    <w:rsid w:val="00E92CA0"/>
    <w:rsid w:val="00EC2E49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0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.treasury.gov/ussgl/archives-tfm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fx.treasury.gov/tfm/bulletins/bulletin-no-2024-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80</cp:revision>
  <dcterms:created xsi:type="dcterms:W3CDTF">2023-01-23T17:57:00Z</dcterms:created>
  <dcterms:modified xsi:type="dcterms:W3CDTF">2024-11-13T18:51:00Z</dcterms:modified>
</cp:coreProperties>
</file>