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13B" w14:textId="28722EC8" w:rsidR="00F52182" w:rsidRPr="00C70A55"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Transaction Code </w:t>
      </w:r>
      <w:r w:rsidR="00BB25CF" w:rsidRPr="00C70A55">
        <w:rPr>
          <w:rFonts w:cstheme="minorHAnsi"/>
          <w:b/>
          <w:bCs/>
          <w:sz w:val="28"/>
          <w:szCs w:val="28"/>
          <w:u w:val="single"/>
        </w:rPr>
        <w:t>Updates</w:t>
      </w:r>
      <w:r w:rsidRPr="00C70A55">
        <w:rPr>
          <w:rFonts w:cstheme="minorHAnsi"/>
          <w:b/>
          <w:bCs/>
          <w:sz w:val="28"/>
          <w:szCs w:val="28"/>
          <w:u w:val="single"/>
        </w:rPr>
        <w:t xml:space="preserve"> (FY 202</w:t>
      </w:r>
      <w:r w:rsidR="000229E9">
        <w:rPr>
          <w:rFonts w:cstheme="minorHAnsi"/>
          <w:b/>
          <w:bCs/>
          <w:sz w:val="28"/>
          <w:szCs w:val="28"/>
          <w:u w:val="single"/>
        </w:rPr>
        <w:t>5</w:t>
      </w:r>
      <w:r w:rsidRPr="00C70A55">
        <w:rPr>
          <w:rFonts w:cstheme="minorHAnsi"/>
          <w:b/>
          <w:bCs/>
          <w:sz w:val="28"/>
          <w:szCs w:val="28"/>
          <w:u w:val="single"/>
        </w:rPr>
        <w:t>)</w:t>
      </w:r>
    </w:p>
    <w:p w14:paraId="0A5A9937" w14:textId="50B47FC9" w:rsidR="00C115A6" w:rsidRDefault="00C115A6" w:rsidP="00C115A6">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t>Cost Capitalization Offset</w:t>
      </w:r>
    </w:p>
    <w:p w14:paraId="37D8DDF7" w14:textId="6262FB96" w:rsidR="00F51D92" w:rsidRPr="00B42FC9" w:rsidRDefault="00C70A55"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sidRPr="00B42FC9">
        <w:rPr>
          <w:rFonts w:asciiTheme="minorHAnsi" w:hAnsiTheme="minorHAnsi" w:cstheme="minorHAnsi"/>
          <w:b/>
          <w:sz w:val="22"/>
          <w:szCs w:val="22"/>
        </w:rPr>
        <w:t xml:space="preserve">1) </w:t>
      </w:r>
      <w:r w:rsidR="006B56B1">
        <w:rPr>
          <w:rFonts w:asciiTheme="minorHAnsi" w:hAnsiTheme="minorHAnsi" w:cstheme="minorHAnsi"/>
          <w:b/>
          <w:sz w:val="22"/>
          <w:szCs w:val="22"/>
        </w:rPr>
        <w:t>D514</w:t>
      </w:r>
      <w:r w:rsidRPr="00B42FC9">
        <w:rPr>
          <w:rFonts w:asciiTheme="minorHAnsi" w:hAnsiTheme="minorHAnsi" w:cstheme="minorHAnsi"/>
          <w:sz w:val="22"/>
          <w:szCs w:val="22"/>
        </w:rPr>
        <w:t xml:space="preserve"> </w:t>
      </w:r>
      <w:r w:rsidR="006B56B1" w:rsidRPr="006B56B1">
        <w:rPr>
          <w:rFonts w:asciiTheme="minorHAnsi" w:hAnsiTheme="minorHAnsi" w:cstheme="minorHAnsi"/>
          <w:sz w:val="22"/>
          <w:szCs w:val="22"/>
        </w:rPr>
        <w:t>To record the reclassification of expenses to asset accounts.</w:t>
      </w:r>
    </w:p>
    <w:p w14:paraId="39773CEE" w14:textId="2315614D" w:rsidR="00F51D92" w:rsidRDefault="00F51D92" w:rsidP="00B42FC9">
      <w:pPr>
        <w:pStyle w:val="PlainText"/>
        <w:keepNext/>
        <w:keepLines/>
        <w:tabs>
          <w:tab w:val="left" w:pos="660"/>
          <w:tab w:val="left" w:pos="1840"/>
          <w:tab w:val="left" w:pos="2940"/>
          <w:tab w:val="left" w:pos="3140"/>
        </w:tabs>
        <w:spacing w:before="120"/>
        <w:jc w:val="both"/>
        <w:rPr>
          <w:rFonts w:asciiTheme="minorHAnsi" w:hAnsiTheme="minorHAnsi" w:cstheme="minorHAnsi"/>
          <w:sz w:val="22"/>
          <w:szCs w:val="22"/>
        </w:rPr>
      </w:pPr>
      <w:r w:rsidRPr="00B42FC9">
        <w:rPr>
          <w:rFonts w:asciiTheme="minorHAnsi" w:hAnsiTheme="minorHAnsi" w:cstheme="minorHAnsi"/>
          <w:b/>
          <w:sz w:val="22"/>
          <w:szCs w:val="22"/>
        </w:rPr>
        <w:t>Comment:</w:t>
      </w:r>
      <w:r w:rsidR="00B42FC9" w:rsidRPr="00B42FC9">
        <w:rPr>
          <w:rFonts w:asciiTheme="minorHAnsi" w:hAnsiTheme="minorHAnsi" w:cstheme="minorHAnsi"/>
          <w:sz w:val="22"/>
          <w:szCs w:val="22"/>
        </w:rPr>
        <w:t xml:space="preserve"> </w:t>
      </w:r>
      <w:r w:rsidR="00946869" w:rsidRPr="0044586A">
        <w:rPr>
          <w:rFonts w:asciiTheme="minorHAnsi" w:hAnsiTheme="minorHAnsi" w:cstheme="minorHAnsi"/>
          <w:strike/>
          <w:color w:val="FF0000"/>
          <w:sz w:val="22"/>
          <w:szCs w:val="22"/>
        </w:rPr>
        <w:t>Due to the reconciliation of interagency expenses and revenues, agencies must first record all direct costs to the USSGL account 600000, "Expenses" series and then offset those amounts using USSGL 661000, "Cost Capitalization Offset," when the costs are subsequently capitalized to the appropriate "in process" asset account, or part of an Assisted Acquisition with another federal entity resulting in the recording of an asset. Also post USSGL TC G120, G122, or G124 if using this entry to post to a finished asset account.</w:t>
      </w:r>
    </w:p>
    <w:p w14:paraId="1647E6FB" w14:textId="77777777" w:rsidR="00946869" w:rsidRPr="00070373" w:rsidRDefault="00946869" w:rsidP="00946869">
      <w:pPr>
        <w:autoSpaceDE w:val="0"/>
        <w:autoSpaceDN w:val="0"/>
        <w:adjustRightInd w:val="0"/>
        <w:spacing w:after="0" w:line="240" w:lineRule="auto"/>
        <w:jc w:val="both"/>
        <w:rPr>
          <w:rFonts w:cstheme="minorHAnsi"/>
          <w:color w:val="2E74B5" w:themeColor="accent5" w:themeShade="BF"/>
        </w:rPr>
      </w:pPr>
      <w:r w:rsidRPr="00070373">
        <w:rPr>
          <w:rFonts w:cstheme="minorHAnsi"/>
          <w:color w:val="2E74B5" w:themeColor="accent5" w:themeShade="BF"/>
        </w:rPr>
        <w:t>Agencies must first record all direct costs to the USSGL account 600000, "Expenses" series. When these costs are subsequently capitalized to the appropriate "in process" asset or “finished product” asset account, or the costs result in the recording of an asset from an Assisted Acquisition with another federal entity, these amounts should then be offset by recording SGL 661000, “Cost Capitalization Offset.”  This process allows agencies to accumulate their cost information and facilitates the proper elimination of interagency expenses/revenues.</w:t>
      </w:r>
    </w:p>
    <w:p w14:paraId="703E04B7" w14:textId="017C86B1" w:rsidR="00946869" w:rsidRDefault="00D851D1" w:rsidP="00B42FC9">
      <w:pPr>
        <w:pStyle w:val="PlainText"/>
        <w:keepNext/>
        <w:keepLines/>
        <w:tabs>
          <w:tab w:val="left" w:pos="660"/>
          <w:tab w:val="left" w:pos="1840"/>
          <w:tab w:val="left" w:pos="2940"/>
          <w:tab w:val="left" w:pos="3140"/>
        </w:tabs>
        <w:spacing w:before="120"/>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A</w:t>
      </w:r>
      <w:r w:rsidR="0046788D" w:rsidRPr="00070373">
        <w:rPr>
          <w:rFonts w:asciiTheme="minorHAnsi" w:hAnsiTheme="minorHAnsi" w:cstheme="minorHAnsi"/>
          <w:color w:val="2E74B5" w:themeColor="accent5" w:themeShade="BF"/>
          <w:sz w:val="22"/>
          <w:szCs w:val="22"/>
        </w:rPr>
        <w:t>lso post USSGL TC G120, G122, or G124</w:t>
      </w:r>
      <w:r w:rsidR="00F00847">
        <w:rPr>
          <w:rFonts w:asciiTheme="minorHAnsi" w:hAnsiTheme="minorHAnsi" w:cstheme="minorHAnsi"/>
          <w:color w:val="2E74B5" w:themeColor="accent5" w:themeShade="BF"/>
          <w:sz w:val="22"/>
          <w:szCs w:val="22"/>
        </w:rPr>
        <w:t xml:space="preserve"> </w:t>
      </w:r>
      <w:r w:rsidR="00033F87">
        <w:rPr>
          <w:rFonts w:asciiTheme="minorHAnsi" w:hAnsiTheme="minorHAnsi" w:cstheme="minorHAnsi"/>
          <w:color w:val="2E74B5" w:themeColor="accent5" w:themeShade="BF"/>
          <w:sz w:val="22"/>
          <w:szCs w:val="22"/>
        </w:rPr>
        <w:t>to track purchases.</w:t>
      </w:r>
    </w:p>
    <w:p w14:paraId="6549DF32" w14:textId="708B1CFB" w:rsidR="00F74B54" w:rsidRPr="00F74B54" w:rsidRDefault="00F74B54" w:rsidP="00B42FC9">
      <w:pPr>
        <w:pStyle w:val="PlainText"/>
        <w:keepNext/>
        <w:keepLines/>
        <w:tabs>
          <w:tab w:val="left" w:pos="660"/>
          <w:tab w:val="left" w:pos="1840"/>
          <w:tab w:val="left" w:pos="2940"/>
          <w:tab w:val="left" w:pos="3140"/>
        </w:tabs>
        <w:spacing w:before="120"/>
        <w:jc w:val="both"/>
        <w:rPr>
          <w:rFonts w:asciiTheme="minorHAnsi" w:hAnsiTheme="minorHAnsi" w:cstheme="minorHAnsi"/>
          <w:color w:val="2E74B5" w:themeColor="accent5" w:themeShade="BF"/>
          <w:sz w:val="22"/>
          <w:szCs w:val="22"/>
        </w:rPr>
      </w:pPr>
      <w:r w:rsidRPr="00F74B54">
        <w:rPr>
          <w:rFonts w:asciiTheme="minorHAnsi" w:hAnsiTheme="minorHAnsi" w:cstheme="minorHAnsi"/>
          <w:b/>
          <w:sz w:val="22"/>
          <w:szCs w:val="22"/>
        </w:rPr>
        <w:t>Reference:</w:t>
      </w:r>
      <w:r>
        <w:rPr>
          <w:rFonts w:asciiTheme="minorHAnsi" w:hAnsiTheme="minorHAnsi" w:cstheme="minorHAnsi"/>
          <w:b/>
          <w:sz w:val="22"/>
          <w:szCs w:val="22"/>
        </w:rPr>
        <w:t xml:space="preserve"> </w:t>
      </w:r>
      <w:r w:rsidRPr="00F74B54">
        <w:rPr>
          <w:rFonts w:asciiTheme="minorHAnsi" w:hAnsiTheme="minorHAnsi" w:cstheme="minorHAnsi"/>
          <w:color w:val="2E74B5" w:themeColor="accent5" w:themeShade="BF"/>
          <w:sz w:val="22"/>
          <w:szCs w:val="22"/>
        </w:rPr>
        <w:t>Assisted Acquisition Scenario,</w:t>
      </w:r>
      <w:r>
        <w:rPr>
          <w:rFonts w:asciiTheme="minorHAnsi" w:hAnsiTheme="minorHAnsi" w:cstheme="minorHAnsi"/>
          <w:b/>
          <w:sz w:val="22"/>
          <w:szCs w:val="22"/>
        </w:rPr>
        <w:t xml:space="preserve"> </w:t>
      </w:r>
      <w:r w:rsidRPr="00F74B54">
        <w:rPr>
          <w:rFonts w:asciiTheme="minorHAnsi" w:hAnsiTheme="minorHAnsi" w:cstheme="minorHAnsi"/>
          <w:color w:val="2E74B5" w:themeColor="accent5" w:themeShade="BF"/>
          <w:sz w:val="22"/>
          <w:szCs w:val="22"/>
        </w:rPr>
        <w:t>Cost Capitalization Offset Scenario</w:t>
      </w:r>
    </w:p>
    <w:p w14:paraId="2A835A6A" w14:textId="5840E2B9" w:rsidR="006B56B1" w:rsidRDefault="006B56B1" w:rsidP="006B56B1">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Pr>
          <w:rFonts w:asciiTheme="minorHAnsi" w:hAnsiTheme="minorHAnsi" w:cstheme="minorHAnsi"/>
          <w:b/>
          <w:sz w:val="22"/>
          <w:szCs w:val="22"/>
        </w:rPr>
        <w:t>Budgetary</w:t>
      </w:r>
      <w:r w:rsidRPr="00B42FC9">
        <w:rPr>
          <w:rFonts w:asciiTheme="minorHAnsi" w:hAnsiTheme="minorHAnsi" w:cstheme="minorHAnsi"/>
          <w:b/>
          <w:sz w:val="22"/>
          <w:szCs w:val="22"/>
        </w:rPr>
        <w:t xml:space="preserve"> Entry</w:t>
      </w:r>
    </w:p>
    <w:p w14:paraId="4EE23199" w14:textId="6CCDF32F" w:rsidR="006B56B1" w:rsidRPr="006B56B1" w:rsidRDefault="006B56B1" w:rsidP="006B56B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6B56B1">
        <w:rPr>
          <w:rFonts w:asciiTheme="minorHAnsi" w:hAnsiTheme="minorHAnsi" w:cstheme="minorHAnsi"/>
          <w:bCs/>
          <w:sz w:val="22"/>
          <w:szCs w:val="22"/>
        </w:rPr>
        <w:t>None</w:t>
      </w:r>
    </w:p>
    <w:p w14:paraId="2E6942F7" w14:textId="4EE60881"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07D1900C" w14:textId="7A5B16F6"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151600 Operating Materials and Supplies in Development  </w:t>
      </w:r>
    </w:p>
    <w:p w14:paraId="6986A8C4"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Debit</w:t>
      </w:r>
      <w:r w:rsidR="00D36A09">
        <w:rPr>
          <w:rFonts w:cstheme="minorHAnsi"/>
        </w:rPr>
        <w:t xml:space="preserve"> </w:t>
      </w:r>
      <w:r w:rsidR="00D36A09">
        <w:rPr>
          <w:rFonts w:cstheme="minorHAnsi"/>
        </w:rPr>
        <w:tab/>
      </w:r>
      <w:r w:rsidRPr="00567D30">
        <w:rPr>
          <w:rFonts w:cstheme="minorHAnsi"/>
        </w:rPr>
        <w:t xml:space="preserve">152600 Inventory - Work-in-Process  </w:t>
      </w:r>
    </w:p>
    <w:p w14:paraId="7C88CDCA"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172000 Construction-in-Progress  </w:t>
      </w:r>
    </w:p>
    <w:p w14:paraId="3211E2C0"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173000 Buildings, Improvements, and Renovations  </w:t>
      </w:r>
    </w:p>
    <w:p w14:paraId="49A52835"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174000 Other Structures and Facilities  </w:t>
      </w:r>
    </w:p>
    <w:p w14:paraId="7D330192"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175000 Equipment  </w:t>
      </w:r>
    </w:p>
    <w:p w14:paraId="185A36AD" w14:textId="542DE398"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181000 Assets Under Capital Lease  </w:t>
      </w:r>
    </w:p>
    <w:p w14:paraId="13736844"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182000 Leasehold Improvements  </w:t>
      </w:r>
    </w:p>
    <w:p w14:paraId="2CB8D00C"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183000 Internal-Use Software  </w:t>
      </w:r>
    </w:p>
    <w:p w14:paraId="0F12A618"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183200 Internal-Use Software in Development     </w:t>
      </w:r>
    </w:p>
    <w:p w14:paraId="4E0D3242" w14:textId="46EB77BB" w:rsidR="00D36A09" w:rsidRDefault="00567D30" w:rsidP="00D36A09">
      <w:pPr>
        <w:autoSpaceDE w:val="0"/>
        <w:autoSpaceDN w:val="0"/>
        <w:adjustRightInd w:val="0"/>
        <w:spacing w:after="0" w:line="240" w:lineRule="auto"/>
        <w:ind w:firstLine="660"/>
        <w:jc w:val="both"/>
        <w:rPr>
          <w:rFonts w:cstheme="minorHAnsi"/>
        </w:rPr>
      </w:pPr>
      <w:r w:rsidRPr="00567D30">
        <w:rPr>
          <w:rFonts w:cstheme="minorHAnsi"/>
        </w:rPr>
        <w:t>Credit    660000</w:t>
      </w:r>
      <w:r w:rsidR="00D36A09">
        <w:rPr>
          <w:rFonts w:cstheme="minorHAnsi"/>
        </w:rPr>
        <w:t xml:space="preserve"> </w:t>
      </w:r>
      <w:r w:rsidRPr="00567D30">
        <w:rPr>
          <w:rFonts w:cstheme="minorHAnsi"/>
        </w:rPr>
        <w:t xml:space="preserve">Applied Overhead     </w:t>
      </w:r>
    </w:p>
    <w:p w14:paraId="6A566A2D" w14:textId="6819C879" w:rsidR="003B675E" w:rsidRDefault="00567D30" w:rsidP="00D36A09">
      <w:pPr>
        <w:autoSpaceDE w:val="0"/>
        <w:autoSpaceDN w:val="0"/>
        <w:adjustRightInd w:val="0"/>
        <w:spacing w:after="0" w:line="240" w:lineRule="auto"/>
        <w:ind w:firstLine="660"/>
        <w:jc w:val="both"/>
        <w:rPr>
          <w:rFonts w:cstheme="minorHAnsi"/>
        </w:rPr>
      </w:pPr>
      <w:r w:rsidRPr="00567D30">
        <w:rPr>
          <w:rFonts w:cstheme="minorHAnsi"/>
        </w:rPr>
        <w:t>Credit    661000</w:t>
      </w:r>
      <w:r w:rsidR="00D36A09">
        <w:rPr>
          <w:rFonts w:cstheme="minorHAnsi"/>
        </w:rPr>
        <w:t xml:space="preserve"> </w:t>
      </w:r>
      <w:r w:rsidRPr="00567D30">
        <w:rPr>
          <w:rFonts w:cstheme="minorHAnsi"/>
        </w:rPr>
        <w:t>Cost Capitalization Offset</w:t>
      </w:r>
    </w:p>
    <w:p w14:paraId="28D3647C" w14:textId="77777777" w:rsidR="00567D30" w:rsidRDefault="00567D30" w:rsidP="00C70A55">
      <w:pPr>
        <w:autoSpaceDE w:val="0"/>
        <w:autoSpaceDN w:val="0"/>
        <w:adjustRightInd w:val="0"/>
        <w:spacing w:after="0" w:line="240" w:lineRule="auto"/>
        <w:jc w:val="both"/>
        <w:rPr>
          <w:rFonts w:cstheme="minorHAnsi"/>
          <w:b/>
          <w:bCs/>
        </w:rPr>
      </w:pPr>
    </w:p>
    <w:p w14:paraId="103A5C2D" w14:textId="4D57CF4E" w:rsidR="00B6534C" w:rsidRDefault="0060687F" w:rsidP="00B6534C">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lastRenderedPageBreak/>
        <w:t>Trust Fund &amp; Special Fund Lessor Lease Revenue</w:t>
      </w:r>
    </w:p>
    <w:p w14:paraId="580F21BA" w14:textId="77777777" w:rsidR="0070072A" w:rsidRDefault="00C70A55" w:rsidP="0070072A">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sidRPr="00B42FC9">
        <w:rPr>
          <w:rFonts w:asciiTheme="minorHAnsi" w:hAnsiTheme="minorHAnsi" w:cstheme="minorHAnsi"/>
          <w:b/>
          <w:sz w:val="22"/>
          <w:szCs w:val="22"/>
        </w:rPr>
        <w:t xml:space="preserve">2) </w:t>
      </w:r>
      <w:r w:rsidR="0070072A">
        <w:rPr>
          <w:rFonts w:asciiTheme="minorHAnsi" w:hAnsiTheme="minorHAnsi" w:cstheme="minorHAnsi"/>
          <w:b/>
          <w:sz w:val="22"/>
          <w:szCs w:val="22"/>
        </w:rPr>
        <w:t>A186</w:t>
      </w:r>
      <w:r w:rsidR="004A7266" w:rsidRPr="004A7266">
        <w:rPr>
          <w:rFonts w:asciiTheme="minorHAnsi" w:hAnsiTheme="minorHAnsi" w:cstheme="minorHAnsi"/>
          <w:b/>
          <w:sz w:val="22"/>
          <w:szCs w:val="22"/>
        </w:rPr>
        <w:t xml:space="preserve"> </w:t>
      </w:r>
      <w:r w:rsidR="0070072A" w:rsidRPr="0070072A">
        <w:rPr>
          <w:rFonts w:asciiTheme="minorHAnsi" w:hAnsiTheme="minorHAnsi" w:cstheme="minorHAnsi"/>
          <w:bCs/>
          <w:sz w:val="22"/>
          <w:szCs w:val="22"/>
        </w:rPr>
        <w:t>To record revenue to available non-revolving trust funds and special funds, in which the revenue is immediately available for obligation.</w:t>
      </w:r>
    </w:p>
    <w:p w14:paraId="74F470C9" w14:textId="77777777" w:rsidR="0070072A" w:rsidRDefault="0070072A" w:rsidP="0070072A">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sidRPr="0070072A">
        <w:rPr>
          <w:rFonts w:asciiTheme="minorHAnsi" w:hAnsiTheme="minorHAnsi" w:cstheme="minorHAnsi"/>
          <w:b/>
          <w:sz w:val="22"/>
          <w:szCs w:val="22"/>
        </w:rPr>
        <w:t>Comment:</w:t>
      </w:r>
      <w:r w:rsidRPr="0070072A">
        <w:rPr>
          <w:rFonts w:asciiTheme="minorHAnsi" w:hAnsiTheme="minorHAnsi" w:cstheme="minorHAnsi"/>
          <w:bCs/>
          <w:sz w:val="22"/>
          <w:szCs w:val="22"/>
        </w:rPr>
        <w:t xml:space="preserve"> Also post USSGL TC-A123 if authority was previously anticipated but not precluded (TC A-121). If authority was previously anticipated and precluded, post USSGL TC A162 instead.  </w:t>
      </w:r>
    </w:p>
    <w:p w14:paraId="1E6866B0" w14:textId="77777777" w:rsidR="0070072A" w:rsidRDefault="0070072A"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Budgetary Entry</w:t>
      </w:r>
    </w:p>
    <w:p w14:paraId="7C3E36BC" w14:textId="77777777" w:rsidR="0070072A" w:rsidRDefault="0070072A"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70072A">
        <w:rPr>
          <w:rFonts w:asciiTheme="minorHAnsi" w:hAnsiTheme="minorHAnsi" w:cstheme="minorHAnsi"/>
          <w:bCs/>
          <w:sz w:val="22"/>
          <w:szCs w:val="22"/>
        </w:rPr>
        <w:t xml:space="preserve">Debit 411400 Appropriated Receipts Derived </w:t>
      </w:r>
      <w:proofErr w:type="gramStart"/>
      <w:r w:rsidRPr="0070072A">
        <w:rPr>
          <w:rFonts w:asciiTheme="minorHAnsi" w:hAnsiTheme="minorHAnsi" w:cstheme="minorHAnsi"/>
          <w:bCs/>
          <w:sz w:val="22"/>
          <w:szCs w:val="22"/>
        </w:rPr>
        <w:t>From</w:t>
      </w:r>
      <w:proofErr w:type="gramEnd"/>
      <w:r w:rsidRPr="0070072A">
        <w:rPr>
          <w:rFonts w:asciiTheme="minorHAnsi" w:hAnsiTheme="minorHAnsi" w:cstheme="minorHAnsi"/>
          <w:bCs/>
          <w:sz w:val="22"/>
          <w:szCs w:val="22"/>
        </w:rPr>
        <w:t xml:space="preserve"> Available Trust or Special Fund Receipts     </w:t>
      </w:r>
    </w:p>
    <w:p w14:paraId="1B45BFE4" w14:textId="547D8E54" w:rsidR="0070072A" w:rsidRDefault="0070072A"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Pr="0070072A">
        <w:rPr>
          <w:rFonts w:asciiTheme="minorHAnsi" w:hAnsiTheme="minorHAnsi" w:cstheme="minorHAnsi"/>
          <w:bCs/>
          <w:sz w:val="22"/>
          <w:szCs w:val="22"/>
        </w:rPr>
        <w:t xml:space="preserve">Credit    412000 Anticipated Indefinite Appropriations     </w:t>
      </w:r>
    </w:p>
    <w:p w14:paraId="27936A2E" w14:textId="6FCA0F45" w:rsidR="0070072A" w:rsidRDefault="0070072A"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Pr="0070072A">
        <w:rPr>
          <w:rFonts w:asciiTheme="minorHAnsi" w:hAnsiTheme="minorHAnsi" w:cstheme="minorHAnsi"/>
          <w:bCs/>
          <w:sz w:val="22"/>
          <w:szCs w:val="22"/>
        </w:rPr>
        <w:t xml:space="preserve">Credit    445000 </w:t>
      </w:r>
      <w:proofErr w:type="spellStart"/>
      <w:r w:rsidRPr="0070072A">
        <w:rPr>
          <w:rFonts w:asciiTheme="minorHAnsi" w:hAnsiTheme="minorHAnsi" w:cstheme="minorHAnsi"/>
          <w:bCs/>
          <w:sz w:val="22"/>
          <w:szCs w:val="22"/>
        </w:rPr>
        <w:t>Unapportioned</w:t>
      </w:r>
      <w:proofErr w:type="spellEnd"/>
      <w:r w:rsidRPr="0070072A">
        <w:rPr>
          <w:rFonts w:asciiTheme="minorHAnsi" w:hAnsiTheme="minorHAnsi" w:cstheme="minorHAnsi"/>
          <w:bCs/>
          <w:sz w:val="22"/>
          <w:szCs w:val="22"/>
        </w:rPr>
        <w:t xml:space="preserve"> - Unexpired Authority     </w:t>
      </w:r>
    </w:p>
    <w:p w14:paraId="19923A34" w14:textId="35B8B357" w:rsidR="0070072A" w:rsidRDefault="0070072A" w:rsidP="003845C3">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Pr="0070072A">
        <w:rPr>
          <w:rFonts w:asciiTheme="minorHAnsi" w:hAnsiTheme="minorHAnsi" w:cstheme="minorHAnsi"/>
          <w:bCs/>
          <w:sz w:val="22"/>
          <w:szCs w:val="22"/>
        </w:rPr>
        <w:t xml:space="preserve">Credit    462000 Unobligated Funds Exempt </w:t>
      </w:r>
      <w:proofErr w:type="gramStart"/>
      <w:r w:rsidRPr="0070072A">
        <w:rPr>
          <w:rFonts w:asciiTheme="minorHAnsi" w:hAnsiTheme="minorHAnsi" w:cstheme="minorHAnsi"/>
          <w:bCs/>
          <w:sz w:val="22"/>
          <w:szCs w:val="22"/>
        </w:rPr>
        <w:t>From</w:t>
      </w:r>
      <w:proofErr w:type="gramEnd"/>
      <w:r w:rsidRPr="0070072A">
        <w:rPr>
          <w:rFonts w:asciiTheme="minorHAnsi" w:hAnsiTheme="minorHAnsi" w:cstheme="minorHAnsi"/>
          <w:bCs/>
          <w:sz w:val="22"/>
          <w:szCs w:val="22"/>
        </w:rPr>
        <w:t xml:space="preserve"> Apportionment  </w:t>
      </w:r>
    </w:p>
    <w:p w14:paraId="70BD8BED" w14:textId="1949D18A" w:rsidR="003845C3" w:rsidRPr="00B42FC9" w:rsidRDefault="003845C3" w:rsidP="003845C3">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38119CB1" w14:textId="77777777" w:rsidR="003845C3" w:rsidRDefault="0070072A"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70072A">
        <w:rPr>
          <w:rFonts w:asciiTheme="minorHAnsi" w:hAnsiTheme="minorHAnsi" w:cstheme="minorHAnsi"/>
          <w:bCs/>
          <w:sz w:val="22"/>
          <w:szCs w:val="22"/>
        </w:rPr>
        <w:t xml:space="preserve">Debit 101000 Fund Balance </w:t>
      </w:r>
      <w:proofErr w:type="gramStart"/>
      <w:r w:rsidRPr="0070072A">
        <w:rPr>
          <w:rFonts w:asciiTheme="minorHAnsi" w:hAnsiTheme="minorHAnsi" w:cstheme="minorHAnsi"/>
          <w:bCs/>
          <w:sz w:val="22"/>
          <w:szCs w:val="22"/>
        </w:rPr>
        <w:t>With</w:t>
      </w:r>
      <w:proofErr w:type="gramEnd"/>
      <w:r w:rsidRPr="0070072A">
        <w:rPr>
          <w:rFonts w:asciiTheme="minorHAnsi" w:hAnsiTheme="minorHAnsi" w:cstheme="minorHAnsi"/>
          <w:bCs/>
          <w:sz w:val="22"/>
          <w:szCs w:val="22"/>
        </w:rPr>
        <w:t xml:space="preserve"> Treasury</w:t>
      </w:r>
    </w:p>
    <w:p w14:paraId="3932F99D" w14:textId="3EE43978" w:rsidR="00AA2B58" w:rsidRDefault="003845C3"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520000 Revenue </w:t>
      </w:r>
      <w:proofErr w:type="gramStart"/>
      <w:r w:rsidR="0070072A" w:rsidRPr="0070072A">
        <w:rPr>
          <w:rFonts w:asciiTheme="minorHAnsi" w:hAnsiTheme="minorHAnsi" w:cstheme="minorHAnsi"/>
          <w:bCs/>
          <w:sz w:val="22"/>
          <w:szCs w:val="22"/>
        </w:rPr>
        <w:t>From</w:t>
      </w:r>
      <w:proofErr w:type="gramEnd"/>
      <w:r w:rsidR="0070072A" w:rsidRPr="0070072A">
        <w:rPr>
          <w:rFonts w:asciiTheme="minorHAnsi" w:hAnsiTheme="minorHAnsi" w:cstheme="minorHAnsi"/>
          <w:bCs/>
          <w:sz w:val="22"/>
          <w:szCs w:val="22"/>
        </w:rPr>
        <w:t xml:space="preserve"> Services Provided     </w:t>
      </w:r>
    </w:p>
    <w:p w14:paraId="6B5C7385" w14:textId="09C4F264" w:rsidR="00AA2B58" w:rsidRDefault="00AA2B58"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531000 Interest Revenue - Other     </w:t>
      </w:r>
    </w:p>
    <w:p w14:paraId="6E2FD5C2" w14:textId="63939B60" w:rsidR="00AA2B58" w:rsidRDefault="00AA2B58"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531100 Interest Revenue - Investments     </w:t>
      </w:r>
    </w:p>
    <w:p w14:paraId="7C534EAC" w14:textId="30BCA2CB" w:rsidR="00ED5B54" w:rsidRDefault="00AA2B58"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531200 Interest Revenue - Loans Receivable/Uninvested Funds     </w:t>
      </w:r>
    </w:p>
    <w:p w14:paraId="4EE16F13" w14:textId="4FBE1552" w:rsidR="00ED0D67" w:rsidRDefault="00ED5B54"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532000 Penalties and Fines Revenue     </w:t>
      </w:r>
    </w:p>
    <w:p w14:paraId="5A0A5C64" w14:textId="4A44C0E2" w:rsidR="00C800F9" w:rsidRDefault="00ED0D67"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532500 Administrative Fees Revenue     </w:t>
      </w:r>
    </w:p>
    <w:p w14:paraId="4F2CD485" w14:textId="4AA86CA0" w:rsidR="00C800F9" w:rsidRDefault="00C800F9"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540000 Funded Benefit Program Revenue     </w:t>
      </w:r>
    </w:p>
    <w:p w14:paraId="08769B9D" w14:textId="3A5C1DC0" w:rsidR="00C800F9" w:rsidRDefault="00C800F9"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560000 Donated Revenue - Financial Resources     </w:t>
      </w:r>
    </w:p>
    <w:p w14:paraId="4CE14754" w14:textId="7AEE309A" w:rsidR="00C800F9" w:rsidRDefault="00C800F9"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564000 Forfeiture Revenue - Cash and Cash Equivalents     </w:t>
      </w:r>
    </w:p>
    <w:p w14:paraId="4558AB53" w14:textId="1ECB8CB1" w:rsidR="00C800F9" w:rsidRDefault="00C800F9"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565000 Forfeiture Revenue - Forfeitures of Property     </w:t>
      </w:r>
    </w:p>
    <w:p w14:paraId="0669BDC4" w14:textId="01E128D0" w:rsidR="00C800F9" w:rsidRDefault="00C800F9"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 xml:space="preserve">Credit    580000 Tax Revenue Collected - Not Otherwise Classified     </w:t>
      </w:r>
    </w:p>
    <w:p w14:paraId="2AC6555A" w14:textId="35E7641E" w:rsidR="0070072A" w:rsidRDefault="00C800F9" w:rsidP="0070072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70072A" w:rsidRPr="0070072A">
        <w:rPr>
          <w:rFonts w:asciiTheme="minorHAnsi" w:hAnsiTheme="minorHAnsi" w:cstheme="minorHAnsi"/>
          <w:bCs/>
          <w:sz w:val="22"/>
          <w:szCs w:val="22"/>
        </w:rPr>
        <w:t>Credit    590000 Other Revenue</w:t>
      </w:r>
    </w:p>
    <w:p w14:paraId="11D673F3" w14:textId="02F30506" w:rsidR="00B961F9" w:rsidRPr="00F86979" w:rsidRDefault="00424EE4" w:rsidP="00F86979">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Pr="00A07A1A">
        <w:rPr>
          <w:rFonts w:asciiTheme="minorHAnsi" w:hAnsiTheme="minorHAnsi" w:cstheme="minorHAnsi"/>
          <w:color w:val="2E74B5" w:themeColor="accent5" w:themeShade="BF"/>
          <w:sz w:val="22"/>
          <w:szCs w:val="22"/>
        </w:rPr>
        <w:t>Credit    593000 Lessor Lease Revenue</w:t>
      </w:r>
    </w:p>
    <w:sectPr w:rsidR="00B961F9" w:rsidRPr="00F8697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0C715663"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910C68">
              <w:rPr>
                <w:b/>
                <w:bCs/>
              </w:rPr>
              <w:t>11</w:t>
            </w:r>
            <w:r w:rsidRPr="00745D48">
              <w:rPr>
                <w:b/>
                <w:bCs/>
              </w:rPr>
              <w:t>/</w:t>
            </w:r>
            <w:r w:rsidR="00910C68">
              <w:rPr>
                <w:b/>
                <w:bCs/>
              </w:rPr>
              <w:t>20</w:t>
            </w:r>
            <w:r w:rsidRPr="00745D48">
              <w:rPr>
                <w:b/>
                <w:bCs/>
              </w:rPr>
              <w:t>/202</w:t>
            </w:r>
            <w:r w:rsidR="00C84133">
              <w:rPr>
                <w:b/>
                <w:bCs/>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229E9"/>
    <w:rsid w:val="00033F87"/>
    <w:rsid w:val="00060BF1"/>
    <w:rsid w:val="00070373"/>
    <w:rsid w:val="000A0A31"/>
    <w:rsid w:val="000C10C6"/>
    <w:rsid w:val="000D392A"/>
    <w:rsid w:val="000F3890"/>
    <w:rsid w:val="0011453B"/>
    <w:rsid w:val="001D2FAF"/>
    <w:rsid w:val="00226742"/>
    <w:rsid w:val="00261747"/>
    <w:rsid w:val="0027178D"/>
    <w:rsid w:val="002949C4"/>
    <w:rsid w:val="002B00EE"/>
    <w:rsid w:val="002B301B"/>
    <w:rsid w:val="002B3C1E"/>
    <w:rsid w:val="00343BB0"/>
    <w:rsid w:val="00381CE8"/>
    <w:rsid w:val="00383A13"/>
    <w:rsid w:val="003845C3"/>
    <w:rsid w:val="003A759C"/>
    <w:rsid w:val="003B675E"/>
    <w:rsid w:val="003C711F"/>
    <w:rsid w:val="003E7E5B"/>
    <w:rsid w:val="0041400B"/>
    <w:rsid w:val="00424EE4"/>
    <w:rsid w:val="0044586A"/>
    <w:rsid w:val="00451FEC"/>
    <w:rsid w:val="0046788D"/>
    <w:rsid w:val="004A7266"/>
    <w:rsid w:val="004B131E"/>
    <w:rsid w:val="004B3F3B"/>
    <w:rsid w:val="005042CC"/>
    <w:rsid w:val="00507F02"/>
    <w:rsid w:val="00522642"/>
    <w:rsid w:val="00533429"/>
    <w:rsid w:val="00567D30"/>
    <w:rsid w:val="005B04F2"/>
    <w:rsid w:val="0060687F"/>
    <w:rsid w:val="0061370D"/>
    <w:rsid w:val="00632311"/>
    <w:rsid w:val="006B56B1"/>
    <w:rsid w:val="006F6AB0"/>
    <w:rsid w:val="0070072A"/>
    <w:rsid w:val="00745D48"/>
    <w:rsid w:val="007673FB"/>
    <w:rsid w:val="007A0A84"/>
    <w:rsid w:val="007A7718"/>
    <w:rsid w:val="007C3D6E"/>
    <w:rsid w:val="007E7416"/>
    <w:rsid w:val="007F2B9E"/>
    <w:rsid w:val="007F337A"/>
    <w:rsid w:val="00800998"/>
    <w:rsid w:val="0081279B"/>
    <w:rsid w:val="0082627A"/>
    <w:rsid w:val="00842B61"/>
    <w:rsid w:val="00865DC3"/>
    <w:rsid w:val="00882128"/>
    <w:rsid w:val="0088655E"/>
    <w:rsid w:val="00890A51"/>
    <w:rsid w:val="008A0952"/>
    <w:rsid w:val="008A33F8"/>
    <w:rsid w:val="008C0B77"/>
    <w:rsid w:val="008F533F"/>
    <w:rsid w:val="00906CC5"/>
    <w:rsid w:val="00910C68"/>
    <w:rsid w:val="009333AA"/>
    <w:rsid w:val="009342C2"/>
    <w:rsid w:val="00946869"/>
    <w:rsid w:val="009539E9"/>
    <w:rsid w:val="00990F0B"/>
    <w:rsid w:val="009A1003"/>
    <w:rsid w:val="009A1008"/>
    <w:rsid w:val="009D2686"/>
    <w:rsid w:val="009D456A"/>
    <w:rsid w:val="009D6E5F"/>
    <w:rsid w:val="009F4BCA"/>
    <w:rsid w:val="00A07A1A"/>
    <w:rsid w:val="00A43F75"/>
    <w:rsid w:val="00A87B86"/>
    <w:rsid w:val="00A90A83"/>
    <w:rsid w:val="00AA2B58"/>
    <w:rsid w:val="00AC44E3"/>
    <w:rsid w:val="00AE3709"/>
    <w:rsid w:val="00AE75F2"/>
    <w:rsid w:val="00B03631"/>
    <w:rsid w:val="00B04C98"/>
    <w:rsid w:val="00B25C6D"/>
    <w:rsid w:val="00B42FC9"/>
    <w:rsid w:val="00B55DE8"/>
    <w:rsid w:val="00B6534C"/>
    <w:rsid w:val="00B961F9"/>
    <w:rsid w:val="00BA7024"/>
    <w:rsid w:val="00BB25CF"/>
    <w:rsid w:val="00BC7F64"/>
    <w:rsid w:val="00C002CA"/>
    <w:rsid w:val="00C11201"/>
    <w:rsid w:val="00C115A6"/>
    <w:rsid w:val="00C14153"/>
    <w:rsid w:val="00C4296E"/>
    <w:rsid w:val="00C4562A"/>
    <w:rsid w:val="00C46BE3"/>
    <w:rsid w:val="00C70A55"/>
    <w:rsid w:val="00C800F9"/>
    <w:rsid w:val="00C82534"/>
    <w:rsid w:val="00C839D7"/>
    <w:rsid w:val="00C84133"/>
    <w:rsid w:val="00C85FCA"/>
    <w:rsid w:val="00C92C7F"/>
    <w:rsid w:val="00CA3AF2"/>
    <w:rsid w:val="00CD29FA"/>
    <w:rsid w:val="00CE6A65"/>
    <w:rsid w:val="00CF2391"/>
    <w:rsid w:val="00D33FDC"/>
    <w:rsid w:val="00D36A09"/>
    <w:rsid w:val="00D80D89"/>
    <w:rsid w:val="00D851D1"/>
    <w:rsid w:val="00D90995"/>
    <w:rsid w:val="00DD2FB4"/>
    <w:rsid w:val="00DD55DA"/>
    <w:rsid w:val="00DD6FAB"/>
    <w:rsid w:val="00DE504A"/>
    <w:rsid w:val="00E12394"/>
    <w:rsid w:val="00E36D30"/>
    <w:rsid w:val="00E859BB"/>
    <w:rsid w:val="00E90FAD"/>
    <w:rsid w:val="00E934B9"/>
    <w:rsid w:val="00ED0D67"/>
    <w:rsid w:val="00ED26B7"/>
    <w:rsid w:val="00ED5B54"/>
    <w:rsid w:val="00EE49BA"/>
    <w:rsid w:val="00EF5105"/>
    <w:rsid w:val="00F00847"/>
    <w:rsid w:val="00F00CB4"/>
    <w:rsid w:val="00F1568C"/>
    <w:rsid w:val="00F4472E"/>
    <w:rsid w:val="00F5174D"/>
    <w:rsid w:val="00F51D92"/>
    <w:rsid w:val="00F52182"/>
    <w:rsid w:val="00F74B54"/>
    <w:rsid w:val="00F86979"/>
    <w:rsid w:val="00F96CCA"/>
    <w:rsid w:val="00FA6E03"/>
    <w:rsid w:val="00FB52DF"/>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46</cp:revision>
  <dcterms:created xsi:type="dcterms:W3CDTF">2024-10-28T12:44:00Z</dcterms:created>
  <dcterms:modified xsi:type="dcterms:W3CDTF">2024-11-12T18:51:00Z</dcterms:modified>
</cp:coreProperties>
</file>